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585" w14:textId="21DA6E17" w:rsidR="00AD44DA" w:rsidRPr="00F464FF" w:rsidRDefault="00983E1B" w:rsidP="00B54299">
      <w:pPr>
        <w:jc w:val="both"/>
        <w:rPr>
          <w:rFonts w:ascii="Arial" w:hAnsi="Arial" w:cs="Arial"/>
          <w:bCs/>
          <w:sz w:val="22"/>
          <w:szCs w:val="22"/>
        </w:rPr>
      </w:pPr>
      <w:r w:rsidRPr="00983E1B">
        <w:rPr>
          <w:rFonts w:ascii="Arial" w:hAnsi="Arial" w:cs="Arial"/>
          <w:b/>
          <w:sz w:val="22"/>
          <w:szCs w:val="22"/>
          <w:lang w:val="es-MX"/>
        </w:rPr>
        <w:t xml:space="preserve">ACTA DE LA JUNTA DE ACLARACIONES DE LA LICITACIÓN PÚBLICA ESTATAL PRESENCIAL NÚMERO </w:t>
      </w:r>
      <w:bookmarkStart w:id="0" w:name="_Hlk201829885"/>
      <w:r w:rsidRPr="00983E1B">
        <w:rPr>
          <w:rFonts w:ascii="Arial" w:hAnsi="Arial" w:cs="Arial"/>
          <w:b/>
          <w:sz w:val="22"/>
          <w:szCs w:val="22"/>
        </w:rPr>
        <w:t>LPE/MOJ/SAYF/OM/DRMYSG/INSUMOSSEÑALAMIENTO/20/2025</w:t>
      </w:r>
      <w:r w:rsidRPr="00983E1B">
        <w:rPr>
          <w:rFonts w:ascii="Arial" w:hAnsi="Arial" w:cs="Arial"/>
          <w:b/>
          <w:sz w:val="22"/>
          <w:szCs w:val="22"/>
          <w:lang w:val="es-MX"/>
        </w:rPr>
        <w:t xml:space="preserve">, </w:t>
      </w:r>
      <w:bookmarkEnd w:id="0"/>
      <w:r w:rsidRPr="00983E1B">
        <w:rPr>
          <w:rFonts w:ascii="Arial" w:hAnsi="Arial" w:cs="Arial"/>
          <w:b/>
          <w:sz w:val="22"/>
          <w:szCs w:val="22"/>
          <w:lang w:val="es-MX"/>
        </w:rPr>
        <w:t xml:space="preserve">RELATIVA A LA </w:t>
      </w:r>
      <w:r w:rsidRPr="00983E1B">
        <w:rPr>
          <w:rFonts w:ascii="Arial" w:hAnsi="Arial" w:cs="Arial"/>
          <w:b/>
          <w:sz w:val="22"/>
          <w:szCs w:val="22"/>
        </w:rPr>
        <w:t>ADQUISICIÓN DE INSUMOS PARA SEÑALAMIENTO HORIZONTAL Y SEÑALAMIENTO VERTICAL ESPECÍFICAMENTE: 58 TAMBOS DE 200 LTS DE PINTURA DE TRÁFICO DE DIFERENTES COLORES, 240 BULTOS DE 25 KG DE MICROESFERA DE VIDRIO TIPO I Y 400 PIEZAS DE SEÑALAMIENTO VERTICAL DE 61 X 61 CMS; PARA DESARROLLAR LOS TRABAJOS DE SEÑALIZACIÓN VIAL EN LA CABECERA MUNICIPAL Y DIVERSAS AGENCIAS DEL MUNICIPIO DE OAXACA DE JUÁREZ</w:t>
      </w:r>
      <w:r>
        <w:rPr>
          <w:rFonts w:ascii="Arial" w:hAnsi="Arial" w:cs="Arial"/>
          <w:b/>
          <w:sz w:val="22"/>
          <w:szCs w:val="22"/>
        </w:rPr>
        <w:t>, OAXACA</w:t>
      </w:r>
      <w:r w:rsidR="00BC7393" w:rsidRPr="00F464FF">
        <w:rPr>
          <w:rFonts w:ascii="Arial" w:eastAsia="Times New Roman" w:hAnsi="Arial" w:cs="Arial"/>
          <w:b/>
          <w:bCs/>
          <w:sz w:val="22"/>
          <w:szCs w:val="22"/>
          <w:lang w:val="es-MX"/>
        </w:rPr>
        <w:t>.</w:t>
      </w:r>
      <w:r w:rsidR="005878BC" w:rsidRPr="00F464F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E6B76" w:rsidRPr="00F464FF">
        <w:rPr>
          <w:rFonts w:ascii="Arial" w:hAnsi="Arial" w:cs="Arial"/>
          <w:bCs/>
          <w:sz w:val="22"/>
          <w:szCs w:val="22"/>
          <w:lang w:val="es-MX"/>
        </w:rPr>
        <w:t>------------------------------------------------------------------------------------------------------------------------------</w:t>
      </w:r>
      <w:r w:rsidR="00FA2910" w:rsidRPr="00F464FF">
        <w:rPr>
          <w:rFonts w:ascii="Arial" w:hAnsi="Arial" w:cs="Arial"/>
          <w:bCs/>
          <w:sz w:val="22"/>
          <w:szCs w:val="22"/>
          <w:lang w:val="es-MX"/>
        </w:rPr>
        <w:t>-------</w:t>
      </w:r>
      <w:r w:rsidR="00BC7393" w:rsidRPr="00F464FF">
        <w:rPr>
          <w:rFonts w:ascii="Arial" w:hAnsi="Arial" w:cs="Arial"/>
          <w:bCs/>
          <w:sz w:val="22"/>
          <w:szCs w:val="22"/>
          <w:lang w:val="es-MX"/>
        </w:rPr>
        <w:t>----------</w:t>
      </w:r>
    </w:p>
    <w:p w14:paraId="7AFBD66A" w14:textId="76040ADD" w:rsidR="00EF00D2" w:rsidRDefault="00AD44DA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En la ciudad de Oaxaca de Juárez, Oaxaca, siendo las 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8C369E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>:00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horas del día </w:t>
      </w:r>
      <w:r w:rsidR="009D45B7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ED2B5E">
        <w:rPr>
          <w:rFonts w:ascii="Arial" w:hAnsi="Arial" w:cs="Arial"/>
          <w:bCs/>
          <w:iCs/>
          <w:noProof/>
          <w:sz w:val="22"/>
          <w:szCs w:val="22"/>
          <w:lang w:val="es-MX"/>
        </w:rPr>
        <w:t>2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</w:t>
      </w:r>
      <w:r w:rsidR="00423FAF">
        <w:rPr>
          <w:rFonts w:ascii="Arial" w:hAnsi="Arial" w:cs="Arial"/>
          <w:bCs/>
          <w:iCs/>
          <w:noProof/>
          <w:sz w:val="22"/>
          <w:szCs w:val="22"/>
          <w:lang w:val="es-MX"/>
        </w:rPr>
        <w:t>agosto</w:t>
      </w:r>
      <w:r w:rsidRPr="003E067F">
        <w:rPr>
          <w:rFonts w:ascii="Arial" w:hAnsi="Arial" w:cs="Arial"/>
          <w:bCs/>
          <w:iCs/>
          <w:noProof/>
          <w:sz w:val="22"/>
          <w:szCs w:val="22"/>
          <w:lang w:val="es-MX"/>
        </w:rPr>
        <w:t xml:space="preserve"> de 2025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reunidos en el </w:t>
      </w:r>
      <w:r w:rsidRPr="003E067F">
        <w:rPr>
          <w:rFonts w:ascii="Arial" w:hAnsi="Arial" w:cs="Arial"/>
          <w:sz w:val="22"/>
          <w:szCs w:val="22"/>
        </w:rPr>
        <w:t>salón Expresidentes del Municipio de Oaxaca de Juárez, ubicado en el primer patio, planta alta del Palacio Municipal, con domicilio en la Avenida Morelos número 108, Colonia Centro, Oaxaca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fecha y hora que fueron señaladas en cumplimiento a lo dispuesto por los artículos 134 de la Constitución Política de los Estados Unidos Mexicanos; 137 de la Constitución Política 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d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el Estado Libre y Soberano de Oaxaca; 1 y 34 fracción II de la Ley de Adquisiciones, Enajenaciones, Arrendamientos, Prestación de Servicios y Administración de Bienes Muebles e Inmuebles del Estado de Oaxaca; 27, 34 y 35 del Reglamento de la Ley de Adquisiciones, Enajenaciones, Arrendamientos, Prestación de Servicios y Administración de Bienes Muebles e Inmuebles del Estado de Oaxaca y al numeral 3.2 de la</w:t>
      </w:r>
      <w:r w:rsidR="000812DD" w:rsidRPr="003E067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Bases de este concurso, </w:t>
      </w:r>
      <w:r w:rsidR="009A240D">
        <w:rPr>
          <w:rFonts w:ascii="Arial" w:hAnsi="Arial" w:cs="Arial"/>
          <w:bCs/>
          <w:iCs/>
          <w:sz w:val="22"/>
          <w:szCs w:val="22"/>
          <w:lang w:val="es-MX"/>
        </w:rPr>
        <w:t>se da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inicio ante la presencia de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>l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os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ciudadano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Luis Ángel Espejel García, Director de Recursos Materiales y Servicios Generales,</w:t>
      </w:r>
      <w:r w:rsidR="00FC6E5F" w:rsidRP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>Martha Patricia Toledo Hernández</w:t>
      </w:r>
      <w:r w:rsidR="00FC6E5F" w:rsidRPr="00523B85">
        <w:rPr>
          <w:rFonts w:ascii="Arial" w:hAnsi="Arial" w:cs="Arial"/>
          <w:bCs/>
          <w:iCs/>
          <w:sz w:val="22"/>
          <w:szCs w:val="22"/>
          <w:lang w:val="es-MX"/>
        </w:rPr>
        <w:t>, Jefa de Departamento de Licitaciones,</w:t>
      </w:r>
      <w:r w:rsidR="00FC6E5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C41E5B" w:rsidRPr="00C41E5B">
        <w:rPr>
          <w:rFonts w:ascii="Arial" w:hAnsi="Arial" w:cs="Arial"/>
          <w:bCs/>
          <w:sz w:val="22"/>
          <w:szCs w:val="22"/>
        </w:rPr>
        <w:t>Rubén Jaime López Díaz</w:t>
      </w:r>
      <w:r w:rsidR="00085AA1" w:rsidRPr="00C41E5B">
        <w:rPr>
          <w:rFonts w:ascii="Arial" w:hAnsi="Arial" w:cs="Arial"/>
          <w:bCs/>
          <w:sz w:val="22"/>
          <w:szCs w:val="22"/>
        </w:rPr>
        <w:t xml:space="preserve">, </w:t>
      </w:r>
      <w:r w:rsidR="00C41E5B" w:rsidRPr="00C41E5B">
        <w:rPr>
          <w:rFonts w:ascii="Arial" w:hAnsi="Arial" w:cs="Arial"/>
          <w:bCs/>
          <w:sz w:val="22"/>
          <w:szCs w:val="22"/>
        </w:rPr>
        <w:t>Director de Movilidad de la Secretaría de Seguridad Vecinal</w:t>
      </w:r>
      <w:r w:rsidR="009A240D">
        <w:rPr>
          <w:rFonts w:ascii="Arial" w:hAnsi="Arial" w:cs="Arial"/>
          <w:bCs/>
          <w:sz w:val="22"/>
          <w:szCs w:val="22"/>
        </w:rPr>
        <w:t xml:space="preserve"> </w:t>
      </w:r>
      <w:r w:rsidR="00085AA1" w:rsidRPr="003E067F">
        <w:rPr>
          <w:rFonts w:ascii="Arial" w:hAnsi="Arial" w:cs="Arial"/>
          <w:bCs/>
          <w:sz w:val="22"/>
          <w:szCs w:val="22"/>
        </w:rPr>
        <w:t>del Municipio de Oaxaca de Juárez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 w:rsidR="00185E2A">
        <w:rPr>
          <w:rFonts w:ascii="Arial" w:hAnsi="Arial" w:cs="Arial"/>
          <w:bCs/>
          <w:iCs/>
          <w:sz w:val="22"/>
          <w:szCs w:val="22"/>
          <w:lang w:val="es-MX"/>
        </w:rPr>
        <w:t>como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representante del </w:t>
      </w:r>
      <w:r w:rsidR="00B57DEE" w:rsidRPr="003E067F">
        <w:rPr>
          <w:rFonts w:ascii="Arial" w:hAnsi="Arial" w:cs="Arial"/>
          <w:bCs/>
          <w:iCs/>
          <w:sz w:val="22"/>
          <w:szCs w:val="22"/>
          <w:lang w:val="es-MX"/>
        </w:rPr>
        <w:t>área técnica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y requirente; </w:t>
      </w:r>
      <w:r w:rsidR="00523B85" w:rsidRPr="003E067F">
        <w:rPr>
          <w:rFonts w:ascii="Arial" w:hAnsi="Arial" w:cs="Arial"/>
          <w:bCs/>
          <w:iCs/>
          <w:sz w:val="22"/>
          <w:szCs w:val="22"/>
          <w:lang w:val="es-MX"/>
        </w:rPr>
        <w:t>así mismo se cuenta con la asistencia del ciudadano Ulises Gerardo Carrera, Jefe de Departamento de Responsabilidades Administrativas y Sanciones del Órgano Interno de Control Municipal.</w:t>
      </w:r>
      <w:r w:rsidR="00DE314D" w:rsidRPr="003E067F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Por otra parte, se hace constar la asistencia de los siguientes licitantes: --------------------------------------------------------------------------------------------------------------------------------------------------------------------</w:t>
      </w:r>
    </w:p>
    <w:p w14:paraId="2A5D88C6" w14:textId="70BCA4C1" w:rsidR="00EF00D2" w:rsidRPr="00CA7596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1.- </w:t>
      </w:r>
      <w:r w:rsidR="00C41E5B">
        <w:rPr>
          <w:rFonts w:ascii="Arial" w:hAnsi="Arial" w:cs="Arial"/>
          <w:bCs/>
          <w:iCs/>
          <w:sz w:val="22"/>
          <w:szCs w:val="22"/>
          <w:lang w:val="es-MX"/>
        </w:rPr>
        <w:t>Andrés Ángel Luna Mendoza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, en representación de la empresa </w:t>
      </w:r>
      <w:r>
        <w:rPr>
          <w:rFonts w:ascii="Arial" w:hAnsi="Arial" w:cs="Arial"/>
          <w:bCs/>
          <w:sz w:val="22"/>
          <w:szCs w:val="22"/>
          <w:lang w:val="es-MX"/>
        </w:rPr>
        <w:t>MAQUINARIA Y MATERIALES PARA CONSTRUCCIÓN TECH</w:t>
      </w:r>
      <w:r w:rsidRPr="00CA7596">
        <w:rPr>
          <w:rFonts w:ascii="Arial" w:hAnsi="Arial" w:cs="Arial"/>
          <w:bCs/>
          <w:sz w:val="22"/>
          <w:szCs w:val="22"/>
          <w:lang w:val="es-MX"/>
        </w:rPr>
        <w:t xml:space="preserve"> S.A. DE C.V.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 -------------------------------------------------------------------------------------------------------------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>-----------</w:t>
      </w:r>
    </w:p>
    <w:p w14:paraId="6154D125" w14:textId="3FD162CB" w:rsidR="00EF00D2" w:rsidRPr="005F0962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2.- </w:t>
      </w:r>
      <w:proofErr w:type="spellStart"/>
      <w:r w:rsidR="00C41E5B">
        <w:rPr>
          <w:rFonts w:ascii="Arial" w:hAnsi="Arial" w:cs="Arial"/>
          <w:bCs/>
          <w:iCs/>
          <w:sz w:val="22"/>
          <w:szCs w:val="22"/>
          <w:lang w:val="es-MX"/>
        </w:rPr>
        <w:t>Heraclito</w:t>
      </w:r>
      <w:proofErr w:type="spellEnd"/>
      <w:r w:rsidR="00C41E5B">
        <w:rPr>
          <w:rFonts w:ascii="Arial" w:hAnsi="Arial" w:cs="Arial"/>
          <w:bCs/>
          <w:iCs/>
          <w:sz w:val="22"/>
          <w:szCs w:val="22"/>
          <w:lang w:val="es-MX"/>
        </w:rPr>
        <w:t xml:space="preserve"> García Sánchez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, en representación de la empresa </w:t>
      </w:r>
      <w:r>
        <w:rPr>
          <w:rFonts w:ascii="Arial" w:eastAsia="Calibri" w:hAnsi="Arial" w:cs="Arial"/>
          <w:bCs/>
          <w:sz w:val="22"/>
          <w:szCs w:val="22"/>
        </w:rPr>
        <w:t>MATERIALES PARA CONSTRUCCIÓN PAVIMEX</w:t>
      </w:r>
      <w:r w:rsidRPr="00CA7596">
        <w:rPr>
          <w:rFonts w:ascii="Arial" w:eastAsia="Calibri" w:hAnsi="Arial" w:cs="Arial"/>
          <w:bCs/>
          <w:sz w:val="22"/>
          <w:szCs w:val="22"/>
        </w:rPr>
        <w:t xml:space="preserve"> S.A. DE C.V.</w:t>
      </w:r>
      <w:r w:rsidRPr="00CA7596">
        <w:rPr>
          <w:rFonts w:ascii="Arial" w:hAnsi="Arial" w:cs="Arial"/>
          <w:bCs/>
          <w:iCs/>
          <w:sz w:val="22"/>
          <w:szCs w:val="22"/>
          <w:lang w:val="es-MX"/>
        </w:rPr>
        <w:t xml:space="preserve"> 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</w:t>
      </w:r>
    </w:p>
    <w:p w14:paraId="2C8E8AB7" w14:textId="0DE861A5" w:rsidR="00E80F99" w:rsidRDefault="00EF00D2" w:rsidP="00EF00D2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Continuando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con el desahogo de la presente junta de aclaraciones de conformidad con los siguientes: 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--------------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</w:t>
      </w:r>
    </w:p>
    <w:p w14:paraId="35A75A23" w14:textId="7E49AC5D" w:rsidR="00AD44DA" w:rsidRDefault="00AD44DA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</w:t>
      </w:r>
      <w:proofErr w:type="gramStart"/>
      <w:r w:rsidRPr="005F0962">
        <w:rPr>
          <w:rFonts w:ascii="Arial" w:hAnsi="Arial" w:cs="Arial"/>
          <w:b/>
          <w:iCs/>
          <w:sz w:val="22"/>
          <w:szCs w:val="22"/>
          <w:lang w:val="es-MX"/>
        </w:rPr>
        <w:t>HECHOS: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</w:t>
      </w:r>
      <w:r w:rsidR="005F0962">
        <w:rPr>
          <w:rFonts w:ascii="Arial" w:hAnsi="Arial" w:cs="Arial"/>
          <w:bCs/>
          <w:iCs/>
          <w:sz w:val="22"/>
          <w:szCs w:val="22"/>
          <w:lang w:val="es-MX"/>
        </w:rPr>
        <w:t>---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</w:t>
      </w:r>
      <w:r w:rsidR="002763E3">
        <w:rPr>
          <w:rFonts w:ascii="Arial" w:hAnsi="Arial" w:cs="Arial"/>
          <w:bCs/>
          <w:iCs/>
          <w:sz w:val="22"/>
          <w:szCs w:val="22"/>
          <w:lang w:val="es-MX"/>
        </w:rPr>
        <w:t>--</w:t>
      </w:r>
      <w:proofErr w:type="gramEnd"/>
    </w:p>
    <w:p w14:paraId="502D5E8E" w14:textId="5D038E70" w:rsidR="00287033" w:rsidRPr="009A0A94" w:rsidRDefault="00287033" w:rsidP="00287033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9A0A94">
        <w:rPr>
          <w:rFonts w:ascii="Arial" w:hAnsi="Arial" w:cs="Arial"/>
          <w:b/>
          <w:iCs/>
          <w:sz w:val="22"/>
          <w:szCs w:val="22"/>
          <w:lang w:val="es-MX"/>
        </w:rPr>
        <w:t>1.-</w:t>
      </w:r>
      <w:r w:rsidRPr="009A0A94">
        <w:rPr>
          <w:rFonts w:ascii="Arial" w:hAnsi="Arial" w:cs="Arial"/>
          <w:bCs/>
          <w:iCs/>
          <w:sz w:val="22"/>
          <w:szCs w:val="22"/>
          <w:lang w:val="es-MX"/>
        </w:rPr>
        <w:t xml:space="preserve"> A</w:t>
      </w:r>
      <w:r w:rsidRPr="009A0A94">
        <w:rPr>
          <w:rFonts w:ascii="Arial" w:hAnsi="Arial" w:cs="Arial"/>
          <w:bCs/>
          <w:sz w:val="22"/>
          <w:szCs w:val="22"/>
          <w:lang w:val="es-MX"/>
        </w:rPr>
        <w:t xml:space="preserve"> efecto de que los licitantes tengan información suficiente y exacta para la elaboración de sus propuestas, la convocante, a solicitud del área técnica, realiza las siguientes precisiones a las  bases del procedimiento de la Licitación Pública Estatal presencial número </w:t>
      </w:r>
      <w:r w:rsidRPr="009A0A94">
        <w:rPr>
          <w:rFonts w:ascii="Arial" w:hAnsi="Arial" w:cs="Arial"/>
          <w:b/>
          <w:sz w:val="22"/>
          <w:szCs w:val="22"/>
          <w:lang w:val="es-MX"/>
        </w:rPr>
        <w:t>LPE/MOJ/SAYF/OM/DRMYSG/INSUMOSSEÑALAMIENTO/20/2025,</w:t>
      </w:r>
      <w:r w:rsidRPr="009A0A94">
        <w:rPr>
          <w:rFonts w:ascii="Arial" w:hAnsi="Arial" w:cs="Arial"/>
          <w:bCs/>
          <w:sz w:val="22"/>
          <w:szCs w:val="22"/>
          <w:lang w:val="es-MX"/>
        </w:rPr>
        <w:t xml:space="preserve"> que se indican a continuación: -----------------------------------------------------------------------------------------------------------------------------------------------------------------------------------------------------------------------</w:t>
      </w:r>
      <w:r w:rsidR="009A0A94">
        <w:rPr>
          <w:rFonts w:ascii="Arial" w:hAnsi="Arial" w:cs="Arial"/>
          <w:bCs/>
          <w:sz w:val="22"/>
          <w:szCs w:val="22"/>
          <w:lang w:val="es-MX"/>
        </w:rPr>
        <w:t>---------------------</w:t>
      </w:r>
    </w:p>
    <w:p w14:paraId="77914B9E" w14:textId="174179E0" w:rsidR="00287033" w:rsidRPr="009A0A94" w:rsidRDefault="00287033" w:rsidP="00287033">
      <w:pPr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9A0A94">
        <w:rPr>
          <w:rFonts w:ascii="Arial" w:hAnsi="Arial" w:cs="Arial"/>
          <w:bCs/>
          <w:sz w:val="22"/>
          <w:szCs w:val="22"/>
          <w:lang w:val="es-MX"/>
        </w:rPr>
        <w:t xml:space="preserve">---------------------------------- </w:t>
      </w:r>
      <w:r w:rsidRPr="009A0A94">
        <w:rPr>
          <w:rFonts w:ascii="Arial" w:hAnsi="Arial" w:cs="Arial"/>
          <w:b/>
          <w:sz w:val="22"/>
          <w:szCs w:val="22"/>
          <w:lang w:val="es-MX"/>
        </w:rPr>
        <w:t>PRECISI</w:t>
      </w:r>
      <w:r w:rsidR="00162751" w:rsidRPr="009A0A94">
        <w:rPr>
          <w:rFonts w:ascii="Arial" w:hAnsi="Arial" w:cs="Arial"/>
          <w:b/>
          <w:sz w:val="22"/>
          <w:szCs w:val="22"/>
          <w:lang w:val="es-MX"/>
        </w:rPr>
        <w:t>ONES</w:t>
      </w:r>
      <w:r w:rsidRPr="009A0A94">
        <w:rPr>
          <w:rFonts w:ascii="Arial" w:hAnsi="Arial" w:cs="Arial"/>
          <w:b/>
          <w:sz w:val="22"/>
          <w:szCs w:val="22"/>
          <w:lang w:val="es-MX"/>
        </w:rPr>
        <w:t xml:space="preserve"> D</w:t>
      </w:r>
      <w:r w:rsidR="00C41E5B">
        <w:rPr>
          <w:rFonts w:ascii="Arial" w:hAnsi="Arial" w:cs="Arial"/>
          <w:b/>
          <w:sz w:val="22"/>
          <w:szCs w:val="22"/>
          <w:lang w:val="es-MX"/>
        </w:rPr>
        <w:t>EL ÁREA TÉCNICA</w:t>
      </w:r>
      <w:r w:rsidRPr="009A0A94">
        <w:rPr>
          <w:rFonts w:ascii="Arial" w:hAnsi="Arial" w:cs="Arial"/>
          <w:b/>
          <w:sz w:val="22"/>
          <w:szCs w:val="22"/>
          <w:lang w:val="es-MX"/>
        </w:rPr>
        <w:t xml:space="preserve">: </w:t>
      </w:r>
      <w:r w:rsidRPr="009A0A94">
        <w:rPr>
          <w:rFonts w:ascii="Arial" w:hAnsi="Arial" w:cs="Arial"/>
          <w:bCs/>
          <w:sz w:val="22"/>
          <w:szCs w:val="22"/>
          <w:lang w:val="es-MX"/>
        </w:rPr>
        <w:t>----------------------------</w:t>
      </w:r>
      <w:r w:rsidR="009A0A94">
        <w:rPr>
          <w:rFonts w:ascii="Arial" w:hAnsi="Arial" w:cs="Arial"/>
          <w:bCs/>
          <w:sz w:val="22"/>
          <w:szCs w:val="22"/>
          <w:lang w:val="es-MX"/>
        </w:rPr>
        <w:t>---------</w:t>
      </w:r>
    </w:p>
    <w:p w14:paraId="1A53EA76" w14:textId="261CC359" w:rsidR="00162751" w:rsidRPr="009A0A94" w:rsidRDefault="00C20AB7" w:rsidP="00162751">
      <w:pPr>
        <w:pStyle w:val="Prrafodelista"/>
        <w:numPr>
          <w:ilvl w:val="0"/>
          <w:numId w:val="24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9A0A94">
        <w:rPr>
          <w:rFonts w:ascii="Arial" w:hAnsi="Arial" w:cs="Arial"/>
          <w:bCs/>
          <w:sz w:val="22"/>
          <w:szCs w:val="22"/>
          <w:lang w:val="es-MX"/>
        </w:rPr>
        <w:t xml:space="preserve">PRECISIÓN 1.- </w:t>
      </w:r>
      <w:r w:rsidR="00162751" w:rsidRPr="009A0A94">
        <w:rPr>
          <w:rFonts w:ascii="Arial" w:hAnsi="Arial" w:cs="Arial"/>
          <w:bCs/>
          <w:sz w:val="22"/>
          <w:szCs w:val="22"/>
          <w:lang w:val="es-MX"/>
        </w:rPr>
        <w:t xml:space="preserve">En las especificaciones técnicas contenidas en el ANEXO A de las bases de la licitación, en el apartado referente a la partida número 05 que corresponde a la adquisición de </w:t>
      </w:r>
      <w:r w:rsidR="00162751" w:rsidRPr="009A0A94">
        <w:rPr>
          <w:rFonts w:ascii="Arial" w:hAnsi="Arial" w:cs="Arial"/>
          <w:b/>
          <w:bCs/>
          <w:noProof/>
          <w:sz w:val="22"/>
          <w:szCs w:val="22"/>
        </w:rPr>
        <w:t xml:space="preserve">240 bultos de 25 kg de microesfera de vidrio tipo I </w:t>
      </w:r>
      <w:r w:rsidR="00162751" w:rsidRPr="009A0A94">
        <w:rPr>
          <w:rFonts w:ascii="Arial" w:hAnsi="Arial" w:cs="Arial"/>
          <w:bCs/>
          <w:sz w:val="22"/>
          <w:szCs w:val="22"/>
          <w:lang w:val="es-MX"/>
        </w:rPr>
        <w:t>la unidad de medida</w:t>
      </w:r>
      <w:r w:rsidR="00162751" w:rsidRPr="009A0A94">
        <w:rPr>
          <w:rFonts w:ascii="Arial" w:hAnsi="Arial" w:cs="Arial"/>
          <w:sz w:val="22"/>
          <w:szCs w:val="22"/>
        </w:rPr>
        <w:t>, fueron establecidas de la siguiente forma:</w:t>
      </w:r>
    </w:p>
    <w:p w14:paraId="2056773A" w14:textId="2893AB30" w:rsidR="00162751" w:rsidRDefault="00162751" w:rsidP="00162751">
      <w:pPr>
        <w:pStyle w:val="Prrafodelista"/>
        <w:ind w:left="284"/>
        <w:jc w:val="both"/>
        <w:rPr>
          <w:rFonts w:ascii="Arial" w:hAnsi="Arial" w:cs="Arial"/>
        </w:rPr>
      </w:pPr>
    </w:p>
    <w:p w14:paraId="441B2AE0" w14:textId="77777777" w:rsidR="009A0A94" w:rsidRDefault="009A0A94" w:rsidP="00162751">
      <w:pPr>
        <w:pStyle w:val="Prrafodelista"/>
        <w:ind w:left="284"/>
        <w:jc w:val="both"/>
        <w:rPr>
          <w:rFonts w:ascii="Arial" w:hAnsi="Arial" w:cs="Arial"/>
        </w:rPr>
      </w:pPr>
    </w:p>
    <w:tbl>
      <w:tblPr>
        <w:tblStyle w:val="Tablaconcuadrcula"/>
        <w:tblW w:w="8925" w:type="dxa"/>
        <w:tblLayout w:type="fixed"/>
        <w:tblLook w:val="04A0" w:firstRow="1" w:lastRow="0" w:firstColumn="1" w:lastColumn="0" w:noHBand="0" w:noVBand="1"/>
      </w:tblPr>
      <w:tblGrid>
        <w:gridCol w:w="962"/>
        <w:gridCol w:w="5697"/>
        <w:gridCol w:w="1133"/>
        <w:gridCol w:w="1133"/>
      </w:tblGrid>
      <w:tr w:rsidR="00162751" w:rsidRPr="00E47A46" w14:paraId="0F8156E6" w14:textId="77777777" w:rsidTr="00121A69">
        <w:trPr>
          <w:trHeight w:val="217"/>
        </w:trPr>
        <w:tc>
          <w:tcPr>
            <w:tcW w:w="962" w:type="dxa"/>
            <w:shd w:val="clear" w:color="auto" w:fill="AEAAAA" w:themeFill="background2" w:themeFillShade="BF"/>
            <w:vAlign w:val="center"/>
          </w:tcPr>
          <w:p w14:paraId="3028B50D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lastRenderedPageBreak/>
              <w:t>PARTIDA</w:t>
            </w:r>
          </w:p>
        </w:tc>
        <w:tc>
          <w:tcPr>
            <w:tcW w:w="5697" w:type="dxa"/>
            <w:shd w:val="clear" w:color="auto" w:fill="AEAAAA" w:themeFill="background2" w:themeFillShade="BF"/>
            <w:vAlign w:val="center"/>
          </w:tcPr>
          <w:p w14:paraId="24B68A6B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133" w:type="dxa"/>
            <w:shd w:val="clear" w:color="auto" w:fill="AEAAAA" w:themeFill="background2" w:themeFillShade="BF"/>
            <w:vAlign w:val="center"/>
          </w:tcPr>
          <w:p w14:paraId="09E8E46B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1133" w:type="dxa"/>
            <w:shd w:val="clear" w:color="auto" w:fill="AEAAAA" w:themeFill="background2" w:themeFillShade="BF"/>
            <w:vAlign w:val="center"/>
          </w:tcPr>
          <w:p w14:paraId="468FA387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162751" w14:paraId="341D987B" w14:textId="77777777" w:rsidTr="00121A69">
        <w:tblPrEx>
          <w:jc w:val="center"/>
        </w:tblPrEx>
        <w:trPr>
          <w:trHeight w:val="680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BC3" w14:textId="77777777" w:rsidR="00162751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C93F" w14:textId="77777777" w:rsidR="00162751" w:rsidRDefault="00162751" w:rsidP="00121A69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Adquisición de microesfera de vidrio tipo I en presentación de bultos de 25 kilogramos, compuesta por esferas vítreas transparentes, inertes, sin impurezas, con forma esférica regular, con un índice de refracción mínimo de 1.5, granulometría entre 100 y 850 micras y contenido mínimo de esferas esféricas del 70%.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54D2" w14:textId="77777777" w:rsidR="00162751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SACO DE 50 KG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B73" w14:textId="77777777" w:rsidR="00162751" w:rsidRDefault="00162751" w:rsidP="00121A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</w:tr>
    </w:tbl>
    <w:p w14:paraId="6E6F6805" w14:textId="77777777" w:rsidR="00162751" w:rsidRDefault="00162751" w:rsidP="00162751">
      <w:pPr>
        <w:pStyle w:val="Prrafodelista"/>
        <w:ind w:left="284"/>
        <w:jc w:val="both"/>
        <w:rPr>
          <w:rFonts w:ascii="Arial" w:hAnsi="Arial" w:cs="Arial"/>
        </w:rPr>
      </w:pPr>
    </w:p>
    <w:p w14:paraId="42F670A4" w14:textId="77777777" w:rsidR="00162751" w:rsidRDefault="00162751" w:rsidP="00162751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Debiendo ser: </w:t>
      </w:r>
    </w:p>
    <w:p w14:paraId="034C21EB" w14:textId="77777777" w:rsidR="00162751" w:rsidRDefault="00162751" w:rsidP="00162751">
      <w:pPr>
        <w:pStyle w:val="Prrafodelista"/>
        <w:ind w:left="284"/>
        <w:jc w:val="both"/>
        <w:rPr>
          <w:rFonts w:ascii="Arial" w:hAnsi="Arial" w:cs="Arial"/>
        </w:rPr>
      </w:pPr>
    </w:p>
    <w:tbl>
      <w:tblPr>
        <w:tblStyle w:val="Tablaconcuadrcula"/>
        <w:tblW w:w="8925" w:type="dxa"/>
        <w:tblLayout w:type="fixed"/>
        <w:tblLook w:val="04A0" w:firstRow="1" w:lastRow="0" w:firstColumn="1" w:lastColumn="0" w:noHBand="0" w:noVBand="1"/>
      </w:tblPr>
      <w:tblGrid>
        <w:gridCol w:w="962"/>
        <w:gridCol w:w="5697"/>
        <w:gridCol w:w="1133"/>
        <w:gridCol w:w="1133"/>
      </w:tblGrid>
      <w:tr w:rsidR="00162751" w:rsidRPr="00E47A46" w14:paraId="30907B59" w14:textId="77777777" w:rsidTr="00121A69">
        <w:trPr>
          <w:trHeight w:val="217"/>
        </w:trPr>
        <w:tc>
          <w:tcPr>
            <w:tcW w:w="962" w:type="dxa"/>
            <w:shd w:val="clear" w:color="auto" w:fill="AEAAAA" w:themeFill="background2" w:themeFillShade="BF"/>
            <w:vAlign w:val="center"/>
          </w:tcPr>
          <w:p w14:paraId="1ABDDBC9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PARTIDA</w:t>
            </w:r>
          </w:p>
        </w:tc>
        <w:tc>
          <w:tcPr>
            <w:tcW w:w="5697" w:type="dxa"/>
            <w:shd w:val="clear" w:color="auto" w:fill="AEAAAA" w:themeFill="background2" w:themeFillShade="BF"/>
            <w:vAlign w:val="center"/>
          </w:tcPr>
          <w:p w14:paraId="00A57655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133" w:type="dxa"/>
            <w:shd w:val="clear" w:color="auto" w:fill="AEAAAA" w:themeFill="background2" w:themeFillShade="BF"/>
            <w:vAlign w:val="center"/>
          </w:tcPr>
          <w:p w14:paraId="66B949DB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1133" w:type="dxa"/>
            <w:shd w:val="clear" w:color="auto" w:fill="AEAAAA" w:themeFill="background2" w:themeFillShade="BF"/>
            <w:vAlign w:val="center"/>
          </w:tcPr>
          <w:p w14:paraId="6D53527D" w14:textId="77777777" w:rsidR="00162751" w:rsidRPr="00E47A46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162751" w14:paraId="7184D3E8" w14:textId="77777777" w:rsidTr="00121A69">
        <w:tblPrEx>
          <w:jc w:val="center"/>
        </w:tblPrEx>
        <w:trPr>
          <w:trHeight w:val="680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B93" w14:textId="77777777" w:rsidR="00162751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72DD" w14:textId="77777777" w:rsidR="00162751" w:rsidRDefault="00162751" w:rsidP="00121A69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Adquisición de microesfera de vidrio tipo I en presentación de bultos de 25 kilogramos, compuesta por esferas vítreas transparentes, inertes, sin impurezas, con forma esférica regular, con un índice de refracción mínimo de 1.5, granulometría entre 100 y 850 micras y contenido mínimo de esferas esféricas del 70%.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67AB" w14:textId="77777777" w:rsidR="00162751" w:rsidRDefault="00162751" w:rsidP="00121A69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SACO DE </w:t>
            </w:r>
            <w:r w:rsidRPr="00025C1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25 KG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EDBB" w14:textId="77777777" w:rsidR="00162751" w:rsidRDefault="00162751" w:rsidP="00121A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</w:tr>
    </w:tbl>
    <w:p w14:paraId="49B2B038" w14:textId="77777777" w:rsidR="009A0A94" w:rsidRDefault="009A0A94" w:rsidP="00162751">
      <w:pPr>
        <w:pStyle w:val="Prrafodelista"/>
        <w:ind w:left="284"/>
        <w:jc w:val="both"/>
        <w:rPr>
          <w:rFonts w:ascii="Arial" w:hAnsi="Arial" w:cs="Arial"/>
        </w:rPr>
      </w:pPr>
    </w:p>
    <w:p w14:paraId="2D4C8C48" w14:textId="19255ECD" w:rsidR="00162751" w:rsidRDefault="00162751" w:rsidP="00162751">
      <w:pPr>
        <w:pStyle w:val="Prrafodelista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Como se especifica en la descripción del concepto de la partida.</w:t>
      </w:r>
      <w:r>
        <w:rPr>
          <w:rFonts w:ascii="Arial" w:hAnsi="Arial" w:cs="Arial"/>
        </w:rPr>
        <w:t xml:space="preserve"> --------------------------------------------------------------------------------------------------------------------------------------------</w:t>
      </w:r>
    </w:p>
    <w:p w14:paraId="1C0EEB08" w14:textId="37946BCC" w:rsidR="00287033" w:rsidRDefault="00C20AB7" w:rsidP="00287033">
      <w:pPr>
        <w:pStyle w:val="Prrafodelista"/>
        <w:numPr>
          <w:ilvl w:val="0"/>
          <w:numId w:val="24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s-MX"/>
        </w:rPr>
        <w:t xml:space="preserve">PRECISIÓN 2.- </w:t>
      </w:r>
      <w:r w:rsidR="00287033" w:rsidRPr="00564497">
        <w:rPr>
          <w:rFonts w:ascii="Arial" w:hAnsi="Arial" w:cs="Arial"/>
          <w:bCs/>
          <w:lang w:val="es-MX"/>
        </w:rPr>
        <w:t>En las especificaciones técnicas</w:t>
      </w:r>
      <w:r w:rsidR="00287033">
        <w:rPr>
          <w:rFonts w:ascii="Arial" w:hAnsi="Arial" w:cs="Arial"/>
          <w:bCs/>
          <w:lang w:val="es-MX"/>
        </w:rPr>
        <w:t xml:space="preserve"> contenidas en el ANEXO A de las bases de la licitación</w:t>
      </w:r>
      <w:r w:rsidR="00287033" w:rsidRPr="00564497">
        <w:rPr>
          <w:rFonts w:ascii="Arial" w:hAnsi="Arial" w:cs="Arial"/>
          <w:bCs/>
          <w:lang w:val="es-MX"/>
        </w:rPr>
        <w:t xml:space="preserve">, </w:t>
      </w:r>
      <w:r w:rsidR="00287033">
        <w:rPr>
          <w:rFonts w:ascii="Arial" w:hAnsi="Arial" w:cs="Arial"/>
          <w:bCs/>
          <w:lang w:val="es-MX"/>
        </w:rPr>
        <w:t xml:space="preserve">en el apartado referente a las partidas número 06 y 07 que corresponde a la adquisición de </w:t>
      </w:r>
      <w:r w:rsidR="00287033">
        <w:rPr>
          <w:rFonts w:ascii="Arial" w:hAnsi="Arial" w:cs="Arial"/>
          <w:b/>
          <w:bCs/>
          <w:noProof/>
        </w:rPr>
        <w:t xml:space="preserve">400 piezas de señalamiento vertical de 61 x 61 cms </w:t>
      </w:r>
      <w:r w:rsidR="00287033" w:rsidRPr="00564497">
        <w:rPr>
          <w:rFonts w:ascii="Arial" w:hAnsi="Arial" w:cs="Arial"/>
          <w:bCs/>
          <w:lang w:val="es-MX"/>
        </w:rPr>
        <w:t xml:space="preserve">las </w:t>
      </w:r>
      <w:r w:rsidR="00287033">
        <w:rPr>
          <w:rFonts w:ascii="Arial" w:hAnsi="Arial" w:cs="Arial"/>
          <w:bCs/>
          <w:lang w:val="es-MX"/>
        </w:rPr>
        <w:t xml:space="preserve">descripciones </w:t>
      </w:r>
      <w:r w:rsidR="00287033" w:rsidRPr="00564497">
        <w:rPr>
          <w:rFonts w:ascii="Arial" w:hAnsi="Arial" w:cs="Arial"/>
          <w:bCs/>
          <w:lang w:val="es-MX"/>
        </w:rPr>
        <w:t>de los conceptos</w:t>
      </w:r>
      <w:r w:rsidR="00287033" w:rsidRPr="00564497">
        <w:rPr>
          <w:rFonts w:ascii="Arial" w:hAnsi="Arial" w:cs="Arial"/>
        </w:rPr>
        <w:t>, fueron establecidas de la siguiente</w:t>
      </w:r>
      <w:r w:rsidR="00287033">
        <w:rPr>
          <w:rFonts w:ascii="Arial" w:hAnsi="Arial" w:cs="Arial"/>
        </w:rPr>
        <w:t xml:space="preserve"> forma</w:t>
      </w:r>
      <w:r w:rsidR="00287033" w:rsidRPr="00564497">
        <w:rPr>
          <w:rFonts w:ascii="Arial" w:hAnsi="Arial" w:cs="Arial"/>
        </w:rPr>
        <w:t>:</w:t>
      </w:r>
    </w:p>
    <w:p w14:paraId="035B447D" w14:textId="77777777" w:rsidR="00287033" w:rsidRPr="00A044CF" w:rsidRDefault="00287033" w:rsidP="00287033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5701"/>
        <w:gridCol w:w="1134"/>
        <w:gridCol w:w="1134"/>
      </w:tblGrid>
      <w:tr w:rsidR="00287033" w:rsidRPr="00E47A46" w14:paraId="25A005DB" w14:textId="77777777" w:rsidTr="000A447C">
        <w:trPr>
          <w:trHeight w:val="217"/>
          <w:tblHeader/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F13D3" w14:textId="77777777" w:rsidR="00287033" w:rsidRPr="00E47A46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PARTIDA</w:t>
            </w:r>
          </w:p>
        </w:tc>
        <w:tc>
          <w:tcPr>
            <w:tcW w:w="5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6A21" w14:textId="77777777" w:rsidR="00287033" w:rsidRPr="00E47A46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C6414" w14:textId="77777777" w:rsidR="00287033" w:rsidRPr="00E47A46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84947" w14:textId="77777777" w:rsidR="00287033" w:rsidRPr="00E47A46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A46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</w:tr>
      <w:tr w:rsidR="00287033" w:rsidRPr="00E47A46" w14:paraId="49B699F5" w14:textId="77777777" w:rsidTr="000A447C">
        <w:trPr>
          <w:trHeight w:val="680"/>
          <w:jc w:val="center"/>
        </w:trPr>
        <w:tc>
          <w:tcPr>
            <w:tcW w:w="962" w:type="dxa"/>
            <w:vAlign w:val="center"/>
          </w:tcPr>
          <w:p w14:paraId="070D6CF7" w14:textId="77777777" w:rsidR="00287033" w:rsidRPr="00102CCD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2C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701" w:type="dxa"/>
            <w:vAlign w:val="center"/>
          </w:tcPr>
          <w:p w14:paraId="291A015F" w14:textId="77777777" w:rsidR="00287033" w:rsidRPr="00102CCD" w:rsidRDefault="00287033" w:rsidP="000A447C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02CCD">
              <w:rPr>
                <w:rFonts w:ascii="Arial" w:hAnsi="Arial" w:cs="Arial"/>
                <w:color w:val="000000"/>
                <w:sz w:val="16"/>
                <w:szCs w:val="16"/>
              </w:rPr>
              <w:t xml:space="preserve">Adquisición de señalamiento vertical de 61 x 61 cm, fabricado con lámina galvanizada calibre 16, bastidor metálico estructural, cara frontal recubierta con vinil reflejante grado ingeniería en colores y símbolos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requeridos por el Municipio de Oaxaca de Juárez</w:t>
            </w:r>
            <w:r w:rsidRPr="00102CCD">
              <w:rPr>
                <w:rFonts w:ascii="Arial" w:hAnsi="Arial" w:cs="Arial"/>
                <w:color w:val="000000"/>
                <w:sz w:val="16"/>
                <w:szCs w:val="16"/>
              </w:rPr>
              <w:t>. Incluye poste tubular galvanizado, herrajes de fijación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5B3517B" w14:textId="77777777" w:rsidR="00287033" w:rsidRPr="00102CCD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134" w:type="dxa"/>
            <w:vAlign w:val="center"/>
          </w:tcPr>
          <w:p w14:paraId="2B49CFD3" w14:textId="77777777" w:rsidR="00287033" w:rsidRPr="0037419E" w:rsidRDefault="00287033" w:rsidP="000A44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19E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287033" w:rsidRPr="00E47A46" w14:paraId="0FDA8271" w14:textId="77777777" w:rsidTr="000A447C">
        <w:trPr>
          <w:trHeight w:val="680"/>
          <w:jc w:val="center"/>
        </w:trPr>
        <w:tc>
          <w:tcPr>
            <w:tcW w:w="962" w:type="dxa"/>
            <w:vAlign w:val="center"/>
          </w:tcPr>
          <w:p w14:paraId="7D3D30B4" w14:textId="77777777" w:rsidR="00287033" w:rsidRPr="00102CCD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02C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701" w:type="dxa"/>
            <w:vAlign w:val="center"/>
          </w:tcPr>
          <w:p w14:paraId="2F826E64" w14:textId="77777777" w:rsidR="00287033" w:rsidRPr="00102CCD" w:rsidRDefault="00287033" w:rsidP="000A447C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02CCD">
              <w:rPr>
                <w:rFonts w:ascii="Arial" w:hAnsi="Arial" w:cs="Arial"/>
                <w:color w:val="000000"/>
                <w:sz w:val="16"/>
                <w:szCs w:val="16"/>
              </w:rPr>
              <w:t>Adquisición de señalamiento vertical de 61 x 61 cm, fabricado con lámina galvanizada calibre 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102CCD">
              <w:rPr>
                <w:rFonts w:ascii="Arial" w:hAnsi="Arial" w:cs="Arial"/>
                <w:color w:val="000000"/>
                <w:sz w:val="16"/>
                <w:szCs w:val="16"/>
              </w:rPr>
              <w:t xml:space="preserve">, bastidor metálico estructural, cara frontal recubierta con vinil reflejante grado ingeniería en colores y símbolos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requeridos por el Municipio de Oaxaca de Juárez</w:t>
            </w:r>
            <w:r w:rsidRPr="00102CCD">
              <w:rPr>
                <w:rFonts w:ascii="Arial" w:hAnsi="Arial" w:cs="Arial"/>
                <w:color w:val="000000"/>
                <w:sz w:val="16"/>
                <w:szCs w:val="16"/>
              </w:rPr>
              <w:t>. Incluye poste tubular galvanizado, herrajes de fijación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9D1B5B0" w14:textId="77777777" w:rsidR="00287033" w:rsidRPr="00102CCD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134" w:type="dxa"/>
            <w:vAlign w:val="center"/>
          </w:tcPr>
          <w:p w14:paraId="3D340617" w14:textId="77777777" w:rsidR="00287033" w:rsidRPr="0037419E" w:rsidRDefault="00287033" w:rsidP="000A44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419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</w:tbl>
    <w:p w14:paraId="4CCAD39C" w14:textId="77777777" w:rsidR="00287033" w:rsidRDefault="00287033" w:rsidP="00287033">
      <w:pPr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 </w:t>
      </w:r>
    </w:p>
    <w:p w14:paraId="1C24E81B" w14:textId="77777777" w:rsidR="00287033" w:rsidRPr="009A0A94" w:rsidRDefault="00287033" w:rsidP="00287033">
      <w:pPr>
        <w:jc w:val="both"/>
        <w:rPr>
          <w:rFonts w:ascii="Arial" w:hAnsi="Arial" w:cs="Arial"/>
          <w:sz w:val="22"/>
          <w:szCs w:val="22"/>
        </w:rPr>
      </w:pPr>
      <w:r w:rsidRPr="009A0A94">
        <w:rPr>
          <w:rFonts w:ascii="Arial" w:hAnsi="Arial" w:cs="Arial"/>
          <w:bCs/>
          <w:sz w:val="22"/>
          <w:szCs w:val="22"/>
          <w:lang w:val="es-MX"/>
        </w:rPr>
        <w:t>Sin embargo, se necesita precisar los símbolos requeridos por el Municipio de Oaxaca de Juárez</w:t>
      </w:r>
      <w:r w:rsidRPr="009A0A94">
        <w:rPr>
          <w:rFonts w:ascii="Arial" w:hAnsi="Arial" w:cs="Arial"/>
          <w:bCs/>
          <w:sz w:val="22"/>
          <w:szCs w:val="22"/>
        </w:rPr>
        <w:t>,</w:t>
      </w:r>
      <w:r w:rsidRPr="009A0A94">
        <w:rPr>
          <w:rFonts w:ascii="Arial" w:hAnsi="Arial" w:cs="Arial"/>
          <w:sz w:val="22"/>
          <w:szCs w:val="22"/>
        </w:rPr>
        <w:t xml:space="preserve"> quedando establecidos de la siguiente manera:</w:t>
      </w:r>
    </w:p>
    <w:p w14:paraId="4EE924E1" w14:textId="77777777" w:rsidR="00287033" w:rsidRPr="009A0A94" w:rsidRDefault="00287033" w:rsidP="00287033">
      <w:pPr>
        <w:jc w:val="both"/>
        <w:rPr>
          <w:rFonts w:ascii="Arial" w:hAnsi="Arial" w:cs="Arial"/>
          <w:sz w:val="22"/>
          <w:szCs w:val="22"/>
        </w:rPr>
      </w:pPr>
    </w:p>
    <w:p w14:paraId="6138BA1B" w14:textId="77777777" w:rsidR="00287033" w:rsidRPr="009A0A94" w:rsidRDefault="00287033" w:rsidP="002870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A0A94">
        <w:rPr>
          <w:rFonts w:ascii="Arial" w:hAnsi="Arial" w:cs="Arial"/>
          <w:b/>
          <w:bCs/>
          <w:sz w:val="22"/>
          <w:szCs w:val="22"/>
        </w:rPr>
        <w:t>Correspondiente a la partida 06 deberá considerarse:</w:t>
      </w:r>
    </w:p>
    <w:p w14:paraId="58488D00" w14:textId="77777777" w:rsidR="00287033" w:rsidRPr="009A0A94" w:rsidRDefault="00287033" w:rsidP="00287033">
      <w:pPr>
        <w:jc w:val="both"/>
        <w:rPr>
          <w:rFonts w:ascii="Arial" w:hAnsi="Arial" w:cs="Arial"/>
          <w:sz w:val="22"/>
          <w:szCs w:val="22"/>
        </w:rPr>
      </w:pPr>
    </w:p>
    <w:p w14:paraId="7256281E" w14:textId="77777777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A0A94">
        <w:rPr>
          <w:rFonts w:ascii="Arial" w:hAnsi="Arial" w:cs="Arial"/>
          <w:color w:val="000000"/>
          <w:sz w:val="22"/>
          <w:szCs w:val="22"/>
        </w:rPr>
        <w:t xml:space="preserve">200 piezas de </w:t>
      </w:r>
      <w:r w:rsidRPr="009A0A94">
        <w:rPr>
          <w:rFonts w:ascii="Arial" w:hAnsi="Arial" w:cs="Arial"/>
          <w:b/>
          <w:bCs/>
          <w:color w:val="000000"/>
          <w:sz w:val="22"/>
          <w:szCs w:val="22"/>
        </w:rPr>
        <w:t>señalamiento vertical restrictivo</w:t>
      </w:r>
      <w:r w:rsidRPr="009A0A94">
        <w:rPr>
          <w:rFonts w:ascii="Arial" w:hAnsi="Arial" w:cs="Arial"/>
          <w:color w:val="000000"/>
          <w:sz w:val="22"/>
          <w:szCs w:val="22"/>
        </w:rPr>
        <w:t xml:space="preserve"> SR-22 (prohibido estacionarse).</w:t>
      </w:r>
    </w:p>
    <w:p w14:paraId="6E4DEF0C" w14:textId="77777777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A0A94">
        <w:rPr>
          <w:rFonts w:ascii="Arial" w:hAnsi="Arial" w:cs="Arial"/>
          <w:color w:val="000000"/>
          <w:sz w:val="22"/>
          <w:szCs w:val="22"/>
        </w:rPr>
        <w:t xml:space="preserve">100 piezas de </w:t>
      </w:r>
      <w:r w:rsidRPr="009A0A94">
        <w:rPr>
          <w:rFonts w:ascii="Arial" w:hAnsi="Arial" w:cs="Arial"/>
          <w:b/>
          <w:bCs/>
          <w:color w:val="000000"/>
          <w:sz w:val="22"/>
          <w:szCs w:val="22"/>
        </w:rPr>
        <w:t>señalamiento vertical restrictivo</w:t>
      </w:r>
      <w:r w:rsidRPr="009A0A94">
        <w:rPr>
          <w:rFonts w:ascii="Arial" w:hAnsi="Arial" w:cs="Arial"/>
          <w:color w:val="000000"/>
          <w:sz w:val="22"/>
          <w:szCs w:val="22"/>
        </w:rPr>
        <w:t xml:space="preserve"> SR-34 (con el nuevo logotipo de accesibilidad universal).</w:t>
      </w:r>
    </w:p>
    <w:p w14:paraId="3ED88BC8" w14:textId="77777777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4774B34" w14:textId="77777777" w:rsidR="00287033" w:rsidRPr="009A0A94" w:rsidRDefault="00287033" w:rsidP="0028703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A0A94">
        <w:rPr>
          <w:rFonts w:ascii="Arial" w:hAnsi="Arial" w:cs="Arial"/>
          <w:b/>
          <w:bCs/>
          <w:color w:val="000000"/>
          <w:sz w:val="22"/>
          <w:szCs w:val="22"/>
        </w:rPr>
        <w:t>Correspondiente a la partida 07 deberá considerarse:</w:t>
      </w:r>
    </w:p>
    <w:p w14:paraId="3F8CD1AC" w14:textId="77777777" w:rsidR="00287033" w:rsidRPr="009A0A94" w:rsidRDefault="00287033" w:rsidP="00287033">
      <w:pPr>
        <w:jc w:val="both"/>
        <w:rPr>
          <w:rFonts w:ascii="Arial" w:hAnsi="Arial" w:cs="Arial"/>
          <w:sz w:val="22"/>
          <w:szCs w:val="22"/>
        </w:rPr>
      </w:pPr>
      <w:r w:rsidRPr="009A0A94">
        <w:rPr>
          <w:rFonts w:ascii="Arial" w:hAnsi="Arial" w:cs="Arial"/>
          <w:color w:val="000000"/>
          <w:sz w:val="22"/>
          <w:szCs w:val="22"/>
        </w:rPr>
        <w:t xml:space="preserve">50 piezas de </w:t>
      </w:r>
      <w:r w:rsidRPr="009A0A94">
        <w:rPr>
          <w:rFonts w:ascii="Arial" w:hAnsi="Arial" w:cs="Arial"/>
          <w:b/>
          <w:bCs/>
          <w:color w:val="000000"/>
          <w:sz w:val="22"/>
          <w:szCs w:val="22"/>
        </w:rPr>
        <w:t>señalamiento vertical preventivo</w:t>
      </w:r>
      <w:r w:rsidRPr="009A0A94">
        <w:rPr>
          <w:rFonts w:ascii="Arial" w:hAnsi="Arial" w:cs="Arial"/>
          <w:color w:val="000000"/>
          <w:sz w:val="22"/>
          <w:szCs w:val="22"/>
        </w:rPr>
        <w:t xml:space="preserve"> SP-32 (cruce peatonal).</w:t>
      </w:r>
    </w:p>
    <w:p w14:paraId="18548DC7" w14:textId="77777777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A0A94">
        <w:rPr>
          <w:rFonts w:ascii="Arial" w:hAnsi="Arial" w:cs="Arial"/>
          <w:color w:val="000000"/>
          <w:sz w:val="22"/>
          <w:szCs w:val="22"/>
        </w:rPr>
        <w:t xml:space="preserve">50 piezas de </w:t>
      </w:r>
      <w:r w:rsidRPr="009A0A94">
        <w:rPr>
          <w:rFonts w:ascii="Arial" w:hAnsi="Arial" w:cs="Arial"/>
          <w:b/>
          <w:bCs/>
          <w:color w:val="000000"/>
          <w:sz w:val="22"/>
          <w:szCs w:val="22"/>
        </w:rPr>
        <w:t xml:space="preserve">señalamiento vertical preventivo </w:t>
      </w:r>
      <w:r w:rsidRPr="009A0A94">
        <w:rPr>
          <w:rFonts w:ascii="Arial" w:hAnsi="Arial" w:cs="Arial"/>
          <w:color w:val="000000"/>
          <w:sz w:val="22"/>
          <w:szCs w:val="22"/>
        </w:rPr>
        <w:t>SP-33 (cruce escolar pentagonal nuevo modelo).</w:t>
      </w:r>
    </w:p>
    <w:p w14:paraId="7ECFBA0B" w14:textId="77777777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214564" w14:textId="6C2B116C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A0A94">
        <w:rPr>
          <w:rFonts w:ascii="Arial" w:hAnsi="Arial" w:cs="Arial"/>
          <w:color w:val="000000"/>
          <w:sz w:val="22"/>
          <w:szCs w:val="22"/>
        </w:rPr>
        <w:t>Así también en la partida 07 se consideró lámina galvanizada calibre 17, debiendo ser calibre 16.</w:t>
      </w:r>
    </w:p>
    <w:p w14:paraId="516FB783" w14:textId="77777777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5E0008C" w14:textId="77777777" w:rsidR="00287033" w:rsidRPr="009A0A94" w:rsidRDefault="00287033" w:rsidP="0028703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A0A94">
        <w:rPr>
          <w:rFonts w:ascii="Arial" w:hAnsi="Arial" w:cs="Arial"/>
          <w:color w:val="000000"/>
          <w:sz w:val="22"/>
          <w:szCs w:val="22"/>
        </w:rPr>
        <w:lastRenderedPageBreak/>
        <w:t>Los licitantes en sus ofertas considerarán que todo el señalamiento vertical propuesto, el rotulado deberá ser en vinil reflejante grado ingeniería de acuerdo a especificaciones de S.I.C.T, incluyendo poste PTR galvanizado de 2 x 2" y tornillería para su instalación.</w:t>
      </w:r>
    </w:p>
    <w:p w14:paraId="38428EC7" w14:textId="77777777" w:rsidR="00287033" w:rsidRPr="009A0A94" w:rsidRDefault="00287033" w:rsidP="00287033">
      <w:pPr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C6C438E" w14:textId="77777777" w:rsidR="00287033" w:rsidRPr="009A0A94" w:rsidRDefault="00287033" w:rsidP="00287033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9A0A94">
        <w:rPr>
          <w:rFonts w:ascii="Arial" w:hAnsi="Arial" w:cs="Arial"/>
          <w:bCs/>
          <w:sz w:val="22"/>
          <w:szCs w:val="22"/>
          <w:lang w:val="es-MX"/>
        </w:rPr>
        <w:t>Se integra imagen de referencia para mayor especificación.</w:t>
      </w:r>
    </w:p>
    <w:p w14:paraId="10688192" w14:textId="77777777" w:rsidR="00287033" w:rsidRDefault="00287033" w:rsidP="00287033">
      <w:pPr>
        <w:tabs>
          <w:tab w:val="left" w:pos="426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aconcuadrcula"/>
        <w:tblW w:w="9125" w:type="dxa"/>
        <w:jc w:val="center"/>
        <w:tblLayout w:type="fixed"/>
        <w:tblLook w:val="04A0" w:firstRow="1" w:lastRow="0" w:firstColumn="1" w:lastColumn="0" w:noHBand="0" w:noVBand="1"/>
      </w:tblPr>
      <w:tblGrid>
        <w:gridCol w:w="4562"/>
        <w:gridCol w:w="4563"/>
      </w:tblGrid>
      <w:tr w:rsidR="00287033" w:rsidRPr="00E47A46" w14:paraId="24C8605C" w14:textId="77777777" w:rsidTr="008C70AC">
        <w:trPr>
          <w:trHeight w:val="218"/>
          <w:tblHeader/>
          <w:jc w:val="center"/>
        </w:trPr>
        <w:tc>
          <w:tcPr>
            <w:tcW w:w="4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F6F92" w14:textId="77777777" w:rsidR="00287033" w:rsidRPr="00E47A46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7E9FC" w14:textId="77777777" w:rsidR="00287033" w:rsidRPr="00E47A46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IMAGEN</w:t>
            </w:r>
          </w:p>
        </w:tc>
      </w:tr>
      <w:tr w:rsidR="00287033" w:rsidRPr="0037419E" w14:paraId="04CA30A5" w14:textId="77777777" w:rsidTr="008C70AC">
        <w:trPr>
          <w:trHeight w:val="684"/>
          <w:jc w:val="center"/>
        </w:trPr>
        <w:tc>
          <w:tcPr>
            <w:tcW w:w="4562" w:type="dxa"/>
            <w:vAlign w:val="center"/>
          </w:tcPr>
          <w:p w14:paraId="36256DE8" w14:textId="77777777" w:rsidR="00287033" w:rsidRPr="00102CCD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  <w:t>SEÑALAMIENTO VERTICAL RESTRICTIVO SR-22 (PROHIBIDO ESTACIONARSE)</w:t>
            </w:r>
          </w:p>
        </w:tc>
        <w:tc>
          <w:tcPr>
            <w:tcW w:w="4563" w:type="dxa"/>
            <w:vAlign w:val="center"/>
          </w:tcPr>
          <w:p w14:paraId="54F637DE" w14:textId="77777777" w:rsidR="00287033" w:rsidRPr="0037419E" w:rsidRDefault="00287033" w:rsidP="000A44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9D070C4" wp14:editId="4C830D75">
                  <wp:extent cx="1103472" cy="942975"/>
                  <wp:effectExtent l="0" t="0" r="1905" b="0"/>
                  <wp:docPr id="4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7A1E49-B42B-D006-CE35-B5496D1B85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C37A1E49-B42B-D006-CE35-B5496D1B85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t="8784" b="290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72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033" w:rsidRPr="0037419E" w14:paraId="2B2D31B3" w14:textId="77777777" w:rsidTr="008C70AC">
        <w:trPr>
          <w:trHeight w:val="684"/>
          <w:jc w:val="center"/>
        </w:trPr>
        <w:tc>
          <w:tcPr>
            <w:tcW w:w="4562" w:type="dxa"/>
            <w:vAlign w:val="center"/>
          </w:tcPr>
          <w:p w14:paraId="5BB8DA1E" w14:textId="77777777" w:rsidR="00287033" w:rsidRPr="00102CCD" w:rsidRDefault="00287033" w:rsidP="000A447C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  <w:t>SEÑALAMIENTO VERTICAL RESTRICTIVO SR-34 CON EL NUEVO LOGOTIPO DE ACCESIBILIDAD UNIVERSAL</w:t>
            </w:r>
            <w:r>
              <w:rPr>
                <w:rFonts w:ascii="Century Gothic" w:hAnsi="Century Gothic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63" w:type="dxa"/>
            <w:vAlign w:val="center"/>
          </w:tcPr>
          <w:p w14:paraId="5D94A93B" w14:textId="77777777" w:rsidR="00287033" w:rsidRPr="0037419E" w:rsidRDefault="00287033" w:rsidP="000A44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AA81DE4" wp14:editId="7E8F8C3D">
                  <wp:extent cx="803910" cy="800100"/>
                  <wp:effectExtent l="19050" t="19050" r="15240" b="19050"/>
                  <wp:docPr id="1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FB6220-6103-B9A1-1001-9CE66ED00F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F2FB6220-6103-B9A1-1001-9CE66ED00F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800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033" w:rsidRPr="0037419E" w14:paraId="42420541" w14:textId="77777777" w:rsidTr="008C70AC">
        <w:trPr>
          <w:trHeight w:val="684"/>
          <w:jc w:val="center"/>
        </w:trPr>
        <w:tc>
          <w:tcPr>
            <w:tcW w:w="4562" w:type="dxa"/>
            <w:vAlign w:val="center"/>
          </w:tcPr>
          <w:p w14:paraId="7FD85DC4" w14:textId="77777777" w:rsidR="00287033" w:rsidRDefault="00287033" w:rsidP="000A447C">
            <w:pPr>
              <w:tabs>
                <w:tab w:val="left" w:pos="426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FF0000"/>
                <w:sz w:val="16"/>
                <w:szCs w:val="16"/>
              </w:rPr>
              <w:t>SEÑALAMIENTO VERTICAL PREVENTIVO SP-32 (CRUCE PEATONAL)</w:t>
            </w:r>
          </w:p>
        </w:tc>
        <w:tc>
          <w:tcPr>
            <w:tcW w:w="4563" w:type="dxa"/>
            <w:vAlign w:val="center"/>
          </w:tcPr>
          <w:p w14:paraId="2A921BD2" w14:textId="77777777" w:rsidR="00287033" w:rsidRPr="0037419E" w:rsidRDefault="00287033" w:rsidP="000A44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4040D40" wp14:editId="0A7D2B4B">
                  <wp:extent cx="1188823" cy="1038225"/>
                  <wp:effectExtent l="0" t="0" r="0" b="0"/>
                  <wp:docPr id="2" name="Imagen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80763-EE35-6124-0B51-16B81122D8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95780763-EE35-6124-0B51-16B81122D8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9805" b="18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23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5A77F" w14:textId="77777777" w:rsidR="009A0A94" w:rsidRDefault="009A0A94" w:rsidP="00D73D61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</w:p>
    <w:p w14:paraId="23449F9E" w14:textId="671F34B3" w:rsidR="00D73D61" w:rsidRPr="00014C92" w:rsidRDefault="00E80F99" w:rsidP="00D73D6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2</w:t>
      </w:r>
      <w:r w:rsidR="00AD44DA" w:rsidRPr="00DF1BA5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="00AD44DA" w:rsidRPr="00DF1BA5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es-MX"/>
        </w:rPr>
        <w:t>Continuando con el desahogo de este evento, s</w:t>
      </w:r>
      <w:r w:rsidR="002D122A">
        <w:rPr>
          <w:rFonts w:ascii="Arial" w:hAnsi="Arial" w:cs="Arial"/>
          <w:bCs/>
          <w:iCs/>
          <w:sz w:val="22"/>
          <w:szCs w:val="22"/>
          <w:lang w:val="es-MX"/>
        </w:rPr>
        <w:t>e indica que e</w:t>
      </w:r>
      <w:r w:rsidR="00D73D61" w:rsidRPr="00DF1BA5">
        <w:rPr>
          <w:rFonts w:ascii="Arial" w:hAnsi="Arial" w:cs="Arial"/>
          <w:bCs/>
          <w:sz w:val="22"/>
          <w:szCs w:val="22"/>
          <w:lang w:val="es-MX"/>
        </w:rPr>
        <w:t xml:space="preserve">l </w:t>
      </w:r>
      <w:r w:rsidR="00D73D61" w:rsidRPr="00DF1BA5">
        <w:rPr>
          <w:rFonts w:ascii="Arial" w:hAnsi="Arial" w:cs="Arial"/>
          <w:bCs/>
          <w:iCs/>
          <w:sz w:val="22"/>
          <w:szCs w:val="22"/>
          <w:lang w:val="es-MX"/>
        </w:rPr>
        <w:t>límite para presentar carta de interés y preguntas relativas al presente procedimiento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licitatorio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, conforme a</w:t>
      </w:r>
      <w:r w:rsidR="00281650">
        <w:rPr>
          <w:rFonts w:ascii="Arial" w:hAnsi="Arial" w:cs="Arial"/>
          <w:bCs/>
          <w:iCs/>
          <w:sz w:val="22"/>
          <w:szCs w:val="22"/>
          <w:lang w:val="es-MX"/>
        </w:rPr>
        <w:t xml:space="preserve"> las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bases 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feneció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veinticuatro horas antes de la celebración del presente acto, es decir, el día </w:t>
      </w:r>
      <w:r w:rsidR="001134F9">
        <w:rPr>
          <w:rFonts w:ascii="Arial" w:hAnsi="Arial" w:cs="Arial"/>
          <w:bCs/>
          <w:iCs/>
          <w:sz w:val="22"/>
          <w:szCs w:val="22"/>
          <w:lang w:val="es-MX"/>
        </w:rPr>
        <w:t>11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</w:t>
      </w:r>
      <w:r w:rsidR="0049322A">
        <w:rPr>
          <w:rFonts w:ascii="Arial" w:hAnsi="Arial" w:cs="Arial"/>
          <w:bCs/>
          <w:iCs/>
          <w:sz w:val="22"/>
          <w:szCs w:val="22"/>
          <w:lang w:val="es-MX"/>
        </w:rPr>
        <w:t>agosto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202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>5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a las 1</w:t>
      </w:r>
      <w:r w:rsidR="00153A8B">
        <w:rPr>
          <w:rFonts w:ascii="Arial" w:hAnsi="Arial" w:cs="Arial"/>
          <w:bCs/>
          <w:iCs/>
          <w:sz w:val="22"/>
          <w:szCs w:val="22"/>
          <w:lang w:val="es-MX"/>
        </w:rPr>
        <w:t>3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:00 horas,</w:t>
      </w:r>
      <w:r w:rsidR="00D73D61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 xml:space="preserve"> de conformidad con lo establecido en el artículo 35, fracción II del Reglamento de la Ley de Adquisiciones, Enajenaciones, Arrendamientos, Prestación de Servicios y Administración de Bienes Muebles e Inmuebles del Estado de Oaxaca y al punto 3.2 de las Bases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, </w:t>
      </w:r>
      <w:r>
        <w:rPr>
          <w:rFonts w:ascii="Arial" w:hAnsi="Arial" w:cs="Arial"/>
          <w:bCs/>
          <w:iCs/>
          <w:sz w:val="22"/>
          <w:szCs w:val="22"/>
          <w:lang w:val="es-MX"/>
        </w:rPr>
        <w:t xml:space="preserve">presentando cartas de interés en participar los licitantes MAQUINARIA Y MATERIALES PARA CONSTRUCCIÓN TECH S.A. DE C.V. y MATERIALES PARA CONSTRUCCIÓN PAVIMEX S.A. DE C.V., </w:t>
      </w:r>
      <w:r w:rsidR="009B1589" w:rsidRPr="00E80F99">
        <w:rPr>
          <w:rFonts w:ascii="Arial" w:hAnsi="Arial" w:cs="Arial"/>
          <w:bCs/>
          <w:iCs/>
          <w:sz w:val="22"/>
          <w:szCs w:val="22"/>
          <w:lang w:val="es-MX"/>
        </w:rPr>
        <w:t>sin que fueran presentadas preguntas por parte de algún licitante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 xml:space="preserve">. </w:t>
      </w:r>
      <w:r w:rsidR="00D73D61" w:rsidRPr="00014C9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</w:t>
      </w:r>
      <w:r w:rsidR="00EF00D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-------------------------------------------------------------------------------------------------------------------------------</w:t>
      </w:r>
    </w:p>
    <w:p w14:paraId="20AF7429" w14:textId="0846DC37" w:rsidR="00126AA9" w:rsidRPr="005F0962" w:rsidRDefault="00126AA9" w:rsidP="00126AA9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iCs/>
          <w:sz w:val="22"/>
          <w:szCs w:val="22"/>
          <w:lang w:val="es-MX"/>
        </w:rPr>
        <w:t>3</w:t>
      </w:r>
      <w:r w:rsidRPr="005F0962">
        <w:rPr>
          <w:rFonts w:ascii="Arial" w:hAnsi="Arial" w:cs="Arial"/>
          <w:b/>
          <w:iCs/>
          <w:sz w:val="22"/>
          <w:szCs w:val="22"/>
          <w:lang w:val="es-MX"/>
        </w:rPr>
        <w:t>.-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S</w:t>
      </w:r>
      <w:r w:rsidRPr="00D52F08">
        <w:rPr>
          <w:rFonts w:ascii="Arial" w:hAnsi="Arial" w:cs="Arial"/>
          <w:bCs/>
          <w:iCs/>
          <w:sz w:val="22"/>
          <w:szCs w:val="22"/>
          <w:lang w:val="es-MX"/>
        </w:rPr>
        <w:t>e hace de conocimiento a los interesados en participar en el presente procedimiento</w:t>
      </w:r>
      <w:r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que conforme a lo establecido en la fracción V del artículo 35 del Reglamento de la Ley de Adquisiciones, Enajenaciones, Arrendamientos, Prestación de Servicios y Administración de Bienes Muebles e Inmuebles del Estado de Oaxaca, </w:t>
      </w:r>
      <w:r>
        <w:rPr>
          <w:rFonts w:ascii="Arial" w:hAnsi="Arial" w:cs="Arial"/>
          <w:bCs/>
          <w:iCs/>
          <w:sz w:val="22"/>
          <w:szCs w:val="22"/>
          <w:lang w:val="es-MX"/>
        </w:rPr>
        <w:t>la</w:t>
      </w:r>
      <w:r w:rsidR="00162751">
        <w:rPr>
          <w:rFonts w:ascii="Arial" w:hAnsi="Arial" w:cs="Arial"/>
          <w:bCs/>
          <w:iCs/>
          <w:sz w:val="22"/>
          <w:szCs w:val="22"/>
          <w:lang w:val="es-MX"/>
        </w:rPr>
        <w:t>s</w:t>
      </w:r>
      <w:r>
        <w:rPr>
          <w:rFonts w:ascii="Arial" w:hAnsi="Arial" w:cs="Arial"/>
          <w:bCs/>
          <w:iCs/>
          <w:sz w:val="22"/>
          <w:szCs w:val="22"/>
          <w:lang w:val="es-MX"/>
        </w:rPr>
        <w:t xml:space="preserve"> precisi</w:t>
      </w:r>
      <w:r w:rsidR="00162751">
        <w:rPr>
          <w:rFonts w:ascii="Arial" w:hAnsi="Arial" w:cs="Arial"/>
          <w:bCs/>
          <w:iCs/>
          <w:sz w:val="22"/>
          <w:szCs w:val="22"/>
          <w:lang w:val="es-MX"/>
        </w:rPr>
        <w:t>ones</w:t>
      </w:r>
      <w:r>
        <w:rPr>
          <w:rFonts w:ascii="Arial" w:hAnsi="Arial" w:cs="Arial"/>
          <w:bCs/>
          <w:iCs/>
          <w:sz w:val="22"/>
          <w:szCs w:val="22"/>
          <w:lang w:val="es-MX"/>
        </w:rPr>
        <w:t xml:space="preserve"> </w:t>
      </w:r>
      <w:r w:rsidRPr="00D52F08">
        <w:rPr>
          <w:rFonts w:ascii="Arial" w:hAnsi="Arial" w:cs="Arial"/>
          <w:bCs/>
          <w:iCs/>
          <w:sz w:val="22"/>
          <w:szCs w:val="22"/>
          <w:lang w:val="es-MX"/>
        </w:rPr>
        <w:t>deriv</w:t>
      </w:r>
      <w:r>
        <w:rPr>
          <w:rFonts w:ascii="Arial" w:hAnsi="Arial" w:cs="Arial"/>
          <w:bCs/>
          <w:iCs/>
          <w:sz w:val="22"/>
          <w:szCs w:val="22"/>
          <w:lang w:val="es-MX"/>
        </w:rPr>
        <w:t>ada</w:t>
      </w:r>
      <w:r w:rsidR="00C20AB7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de la presente junta forma parte integrante de las bases del presente procedimiento licitatorio, por lo tanto, debe</w:t>
      </w:r>
      <w:r w:rsidR="00C20AB7">
        <w:rPr>
          <w:rFonts w:ascii="Arial" w:hAnsi="Arial" w:cs="Arial"/>
          <w:bCs/>
          <w:iCs/>
          <w:sz w:val="22"/>
          <w:szCs w:val="22"/>
          <w:lang w:val="es-MX"/>
        </w:rPr>
        <w:t>n</w:t>
      </w:r>
      <w:r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ser considerada</w:t>
      </w:r>
      <w:r w:rsidR="00C20AB7">
        <w:rPr>
          <w:rFonts w:ascii="Arial" w:hAnsi="Arial" w:cs="Arial"/>
          <w:bCs/>
          <w:iCs/>
          <w:sz w:val="22"/>
          <w:szCs w:val="22"/>
          <w:lang w:val="es-MX"/>
        </w:rPr>
        <w:t>s</w:t>
      </w:r>
      <w:r w:rsidRPr="00D52F08">
        <w:rPr>
          <w:rFonts w:ascii="Arial" w:hAnsi="Arial" w:cs="Arial"/>
          <w:bCs/>
          <w:iCs/>
          <w:sz w:val="22"/>
          <w:szCs w:val="22"/>
          <w:lang w:val="es-MX"/>
        </w:rPr>
        <w:t xml:space="preserve"> para la elaboración de las propuestas correspondientes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. --------------------------------------------------------------------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------------------------------------------------------------</w:t>
      </w:r>
      <w:r>
        <w:rPr>
          <w:rFonts w:ascii="Arial" w:hAnsi="Arial" w:cs="Arial"/>
          <w:bCs/>
          <w:iCs/>
          <w:sz w:val="22"/>
          <w:szCs w:val="22"/>
          <w:lang w:val="es-MX"/>
        </w:rPr>
        <w:t>-----</w:t>
      </w:r>
      <w:r w:rsidR="00C20AB7">
        <w:rPr>
          <w:rFonts w:ascii="Arial" w:hAnsi="Arial" w:cs="Arial"/>
          <w:bCs/>
          <w:iCs/>
          <w:sz w:val="22"/>
          <w:szCs w:val="22"/>
          <w:lang w:val="es-MX"/>
        </w:rPr>
        <w:t>-</w:t>
      </w:r>
    </w:p>
    <w:p w14:paraId="427FC045" w14:textId="0FE5D335" w:rsidR="00AD44DA" w:rsidRPr="005F0962" w:rsidRDefault="00DF538C" w:rsidP="006E117D">
      <w:pPr>
        <w:jc w:val="both"/>
        <w:rPr>
          <w:rFonts w:ascii="Arial" w:hAnsi="Arial" w:cs="Arial"/>
          <w:bCs/>
          <w:iCs/>
          <w:sz w:val="22"/>
          <w:szCs w:val="22"/>
          <w:lang w:val="es-MX"/>
        </w:rPr>
      </w:pPr>
      <w:r>
        <w:rPr>
          <w:rFonts w:ascii="Arial" w:hAnsi="Arial" w:cs="Arial"/>
          <w:bCs/>
          <w:iCs/>
          <w:sz w:val="22"/>
          <w:szCs w:val="22"/>
          <w:lang w:val="es-MX"/>
        </w:rPr>
        <w:t>El presente documento s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>e pone a disposición para consulta de los interesados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la página oficial del Municipio de Oaxaca de Juárez, en la dirección electrónica:</w:t>
      </w:r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</w:t>
      </w:r>
      <w:hyperlink r:id="rId11" w:history="1">
        <w:r w:rsidR="00AD44DA" w:rsidRPr="005F0962">
          <w:rPr>
            <w:rStyle w:val="Hipervnculo"/>
            <w:rFonts w:ascii="Arial" w:hAnsi="Arial" w:cs="Arial"/>
            <w:sz w:val="22"/>
            <w:szCs w:val="22"/>
            <w:lang w:val="es-MX"/>
          </w:rPr>
          <w:t>https://transparencia.municipiodeoaxaca.gob.mx/procesos-licitatorios/bienes-serv</w:t>
        </w:r>
      </w:hyperlink>
      <w:r w:rsidR="00AD44DA" w:rsidRPr="005F0962">
        <w:rPr>
          <w:rFonts w:ascii="Arial" w:hAnsi="Arial" w:cs="Arial"/>
          <w:sz w:val="22"/>
          <w:szCs w:val="22"/>
          <w:lang w:val="es-MX"/>
        </w:rPr>
        <w:t xml:space="preserve"> y </w:t>
      </w:r>
      <w:r w:rsidR="00AD44DA" w:rsidRPr="005F0962">
        <w:rPr>
          <w:rFonts w:ascii="Arial" w:hAnsi="Arial" w:cs="Arial"/>
          <w:bCs/>
          <w:sz w:val="22"/>
          <w:szCs w:val="22"/>
          <w:lang w:val="es-MX"/>
        </w:rPr>
        <w:t>en el lugar que ocupan los estrados de este municipio, con domicilio en Avenida Morelos número 108, colonia Centro, Oaxaca de Juárez, Oaxaca,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en donde se fijará un ejemplar en copia simple, por un término no menor a 5 días hábiles, sustituyendo ambas publicaciones a la notificación </w:t>
      </w:r>
      <w:r w:rsidR="00AD44DA" w:rsidRPr="005F0962">
        <w:rPr>
          <w:rFonts w:ascii="Arial" w:hAnsi="Arial" w:cs="Arial"/>
          <w:bCs/>
          <w:iCs/>
          <w:sz w:val="22"/>
          <w:szCs w:val="22"/>
          <w:lang w:val="es-MX"/>
        </w:rPr>
        <w:lastRenderedPageBreak/>
        <w:t>personal, siendo la exclusiva responsabilidad de los participantes en acudir a enterarse de su contenido y obtener copia de la misma. --------------------------------------------------------------------------------------------------------------------------------------------------------------------</w:t>
      </w:r>
      <w:r w:rsidR="009B1589">
        <w:rPr>
          <w:rFonts w:ascii="Arial" w:hAnsi="Arial" w:cs="Arial"/>
          <w:bCs/>
          <w:iCs/>
          <w:sz w:val="22"/>
          <w:szCs w:val="22"/>
          <w:lang w:val="es-MX"/>
        </w:rPr>
        <w:t>-------------------------------------</w:t>
      </w:r>
    </w:p>
    <w:p w14:paraId="758D58AA" w14:textId="77A67485" w:rsidR="00C227FF" w:rsidRDefault="00AD44DA" w:rsidP="00053F15">
      <w:pPr>
        <w:jc w:val="both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No habiendo otro asunto que tratar, se cierra la presente acta, siendo las 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1</w:t>
      </w:r>
      <w:r w:rsidR="00B43AB1">
        <w:rPr>
          <w:rFonts w:ascii="Arial" w:hAnsi="Arial" w:cs="Arial"/>
          <w:bCs/>
          <w:iCs/>
          <w:noProof/>
          <w:sz w:val="22"/>
          <w:szCs w:val="22"/>
          <w:lang w:val="es-MX"/>
        </w:rPr>
        <w:t>3</w:t>
      </w:r>
      <w:r w:rsidRPr="005F0962">
        <w:rPr>
          <w:rFonts w:ascii="Arial" w:hAnsi="Arial" w:cs="Arial"/>
          <w:bCs/>
          <w:iCs/>
          <w:noProof/>
          <w:sz w:val="22"/>
          <w:szCs w:val="22"/>
          <w:lang w:val="es-MX"/>
        </w:rPr>
        <w:t>:</w:t>
      </w:r>
      <w:r w:rsidR="006B65E5">
        <w:rPr>
          <w:rFonts w:ascii="Arial" w:hAnsi="Arial" w:cs="Arial"/>
          <w:bCs/>
          <w:iCs/>
          <w:noProof/>
          <w:sz w:val="22"/>
          <w:szCs w:val="22"/>
          <w:lang w:val="es-MX"/>
        </w:rPr>
        <w:t>2</w:t>
      </w:r>
      <w:r w:rsidR="00D82A86">
        <w:rPr>
          <w:rFonts w:ascii="Arial" w:hAnsi="Arial" w:cs="Arial"/>
          <w:bCs/>
          <w:iCs/>
          <w:noProof/>
          <w:sz w:val="22"/>
          <w:szCs w:val="22"/>
          <w:lang w:val="es-MX"/>
        </w:rPr>
        <w:t>0</w:t>
      </w:r>
      <w:r w:rsidRPr="005F0962">
        <w:rPr>
          <w:rFonts w:ascii="Arial" w:hAnsi="Arial" w:cs="Arial"/>
          <w:bCs/>
          <w:iCs/>
          <w:sz w:val="22"/>
          <w:szCs w:val="22"/>
          <w:lang w:val="es-MX"/>
        </w:rPr>
        <w:t xml:space="preserve"> horas, del mismo día de su inicio, firmando al margen y al calce los que en ella intervinieron. -----------------------------------------------------------------------------------------------------------------------------------------------------------</w:t>
      </w:r>
    </w:p>
    <w:p w14:paraId="2BAFBB9C" w14:textId="52586C9B" w:rsidR="00AD44DA" w:rsidRPr="005F0962" w:rsidRDefault="00AD44DA" w:rsidP="006E117D">
      <w:pPr>
        <w:jc w:val="center"/>
        <w:rPr>
          <w:rFonts w:ascii="Arial" w:hAnsi="Arial" w:cs="Arial"/>
          <w:b/>
          <w:iCs/>
          <w:sz w:val="22"/>
          <w:szCs w:val="22"/>
          <w:lang w:val="es-MX"/>
        </w:rPr>
      </w:pPr>
      <w:r w:rsidRPr="005F0962">
        <w:rPr>
          <w:rFonts w:ascii="Arial" w:hAnsi="Arial" w:cs="Arial"/>
          <w:b/>
          <w:iCs/>
          <w:sz w:val="22"/>
          <w:szCs w:val="22"/>
          <w:lang w:val="es-MX"/>
        </w:rPr>
        <w:t>POR LOS SERVIDORES PÚBLICOS.</w:t>
      </w:r>
    </w:p>
    <w:tbl>
      <w:tblPr>
        <w:tblStyle w:val="Tablaconcuadrcula"/>
        <w:tblW w:w="9443" w:type="dxa"/>
        <w:tblLook w:val="04A0" w:firstRow="1" w:lastRow="0" w:firstColumn="1" w:lastColumn="0" w:noHBand="0" w:noVBand="1"/>
      </w:tblPr>
      <w:tblGrid>
        <w:gridCol w:w="5664"/>
        <w:gridCol w:w="3779"/>
      </w:tblGrid>
      <w:tr w:rsidR="00AD44DA" w:rsidRPr="005F0962" w14:paraId="49DD444D" w14:textId="77777777" w:rsidTr="006B65E5">
        <w:trPr>
          <w:trHeight w:val="203"/>
        </w:trPr>
        <w:tc>
          <w:tcPr>
            <w:tcW w:w="5664" w:type="dxa"/>
            <w:vAlign w:val="center"/>
          </w:tcPr>
          <w:p w14:paraId="6373405A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779" w:type="dxa"/>
            <w:vAlign w:val="center"/>
          </w:tcPr>
          <w:p w14:paraId="5778A19F" w14:textId="77777777" w:rsidR="00AD44DA" w:rsidRPr="0065719C" w:rsidRDefault="00AD44DA" w:rsidP="006E117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5BC89BFD" w14:textId="77777777" w:rsidTr="006B65E5">
        <w:trPr>
          <w:trHeight w:val="1227"/>
        </w:trPr>
        <w:tc>
          <w:tcPr>
            <w:tcW w:w="5664" w:type="dxa"/>
            <w:vAlign w:val="center"/>
          </w:tcPr>
          <w:p w14:paraId="48921B42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Luis Ángel Espejel García.</w:t>
            </w:r>
          </w:p>
          <w:p w14:paraId="282C924A" w14:textId="77777777" w:rsidR="00AD44DA" w:rsidRPr="005F0962" w:rsidRDefault="00AD44DA" w:rsidP="003832C0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F0962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Director de Recursos Materiales y Servicios Generales del Municipio de Oaxaca de Juárez.</w:t>
            </w:r>
          </w:p>
        </w:tc>
        <w:tc>
          <w:tcPr>
            <w:tcW w:w="3779" w:type="dxa"/>
          </w:tcPr>
          <w:p w14:paraId="50F4D628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9A0A94" w:rsidRPr="005F0962" w14:paraId="67355F2E" w14:textId="77777777" w:rsidTr="006B65E5">
        <w:trPr>
          <w:trHeight w:val="1259"/>
        </w:trPr>
        <w:tc>
          <w:tcPr>
            <w:tcW w:w="5664" w:type="dxa"/>
            <w:vAlign w:val="center"/>
          </w:tcPr>
          <w:p w14:paraId="05916692" w14:textId="77777777" w:rsidR="009A0A94" w:rsidRDefault="009A0A94" w:rsidP="009A0A94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C. Martha Patricia Toledo Hernández.</w:t>
            </w:r>
          </w:p>
          <w:p w14:paraId="0046D6F1" w14:textId="36189002" w:rsidR="009A0A94" w:rsidRPr="005F0962" w:rsidRDefault="009A0A94" w:rsidP="009A0A9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Jefa de Departamento de Licitaciones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38B086EF" w14:textId="77777777" w:rsidR="009A0A94" w:rsidRPr="005F0962" w:rsidRDefault="009A0A94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  <w:tr w:rsidR="00AD44DA" w:rsidRPr="005F0962" w14:paraId="514FD115" w14:textId="77777777" w:rsidTr="006B65E5">
        <w:trPr>
          <w:trHeight w:val="1263"/>
        </w:trPr>
        <w:tc>
          <w:tcPr>
            <w:tcW w:w="5664" w:type="dxa"/>
            <w:vAlign w:val="center"/>
          </w:tcPr>
          <w:p w14:paraId="7CDE506B" w14:textId="77777777" w:rsidR="003A3DB7" w:rsidRDefault="003A3DB7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C. </w:t>
            </w: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Ulises Gerardo Carrera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7F06331B" w14:textId="77C0201D" w:rsidR="00AD44DA" w:rsidRPr="005F0962" w:rsidRDefault="003A3DB7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23B8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Jefe de Departamento de Responsabilidades Administrativas y Sanciones del Órgano Interno de Control Municipal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</w:tc>
        <w:tc>
          <w:tcPr>
            <w:tcW w:w="3779" w:type="dxa"/>
          </w:tcPr>
          <w:p w14:paraId="2BE37D6F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045EA228" w14:textId="41244C66" w:rsidR="00AD44DA" w:rsidRPr="005F0962" w:rsidRDefault="00AD44DA" w:rsidP="006B65E5">
      <w:pPr>
        <w:spacing w:line="259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F0962">
        <w:rPr>
          <w:rFonts w:ascii="Arial" w:hAnsi="Arial" w:cs="Arial"/>
          <w:b/>
          <w:sz w:val="22"/>
          <w:szCs w:val="22"/>
          <w:lang w:val="es-MX"/>
        </w:rPr>
        <w:t>POR EL ÁREA TÉCNICA</w:t>
      </w:r>
      <w:r w:rsidR="00AD6001">
        <w:rPr>
          <w:rFonts w:ascii="Arial" w:hAnsi="Arial" w:cs="Arial"/>
          <w:b/>
          <w:sz w:val="22"/>
          <w:szCs w:val="22"/>
          <w:lang w:val="es-MX"/>
        </w:rPr>
        <w:t xml:space="preserve"> Y REQUIRENTE</w:t>
      </w:r>
      <w:r w:rsidRPr="005F0962">
        <w:rPr>
          <w:rFonts w:ascii="Arial" w:hAnsi="Arial" w:cs="Arial"/>
          <w:b/>
          <w:sz w:val="22"/>
          <w:szCs w:val="22"/>
          <w:lang w:val="es-MX"/>
        </w:rPr>
        <w:t>.</w:t>
      </w:r>
    </w:p>
    <w:tbl>
      <w:tblPr>
        <w:tblStyle w:val="Tablaconcuadrcula"/>
        <w:tblW w:w="9451" w:type="dxa"/>
        <w:tblLook w:val="04A0" w:firstRow="1" w:lastRow="0" w:firstColumn="1" w:lastColumn="0" w:noHBand="0" w:noVBand="1"/>
      </w:tblPr>
      <w:tblGrid>
        <w:gridCol w:w="5646"/>
        <w:gridCol w:w="3805"/>
      </w:tblGrid>
      <w:tr w:rsidR="00AD44DA" w:rsidRPr="005F0962" w14:paraId="3737B028" w14:textId="77777777" w:rsidTr="006B65E5">
        <w:trPr>
          <w:trHeight w:val="264"/>
        </w:trPr>
        <w:tc>
          <w:tcPr>
            <w:tcW w:w="5646" w:type="dxa"/>
            <w:vAlign w:val="center"/>
          </w:tcPr>
          <w:p w14:paraId="61A3B4F7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 Y CARGO</w:t>
            </w:r>
          </w:p>
        </w:tc>
        <w:tc>
          <w:tcPr>
            <w:tcW w:w="3805" w:type="dxa"/>
            <w:vAlign w:val="center"/>
          </w:tcPr>
          <w:p w14:paraId="606253DA" w14:textId="77777777" w:rsidR="00AD44DA" w:rsidRPr="0065719C" w:rsidRDefault="00AD44DA" w:rsidP="006B65E5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s-MX"/>
              </w:rPr>
            </w:pPr>
            <w:r w:rsidRPr="0065719C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FIRMA</w:t>
            </w:r>
          </w:p>
        </w:tc>
      </w:tr>
      <w:tr w:rsidR="00AD44DA" w:rsidRPr="005F0962" w14:paraId="652DA657" w14:textId="77777777" w:rsidTr="00D26DEC">
        <w:trPr>
          <w:trHeight w:val="1546"/>
        </w:trPr>
        <w:tc>
          <w:tcPr>
            <w:tcW w:w="5646" w:type="dxa"/>
            <w:vAlign w:val="center"/>
          </w:tcPr>
          <w:p w14:paraId="30E5488D" w14:textId="77777777" w:rsidR="006B65E5" w:rsidRDefault="0042696B" w:rsidP="00DE31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0B59"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6B65E5" w:rsidRPr="00C41E5B">
              <w:rPr>
                <w:rFonts w:ascii="Arial" w:hAnsi="Arial" w:cs="Arial"/>
                <w:bCs/>
                <w:sz w:val="22"/>
                <w:szCs w:val="22"/>
              </w:rPr>
              <w:t>Rubén Jaime López Díaz</w:t>
            </w:r>
            <w:r w:rsidR="006B65E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6504EE" w14:textId="671D18CB" w:rsidR="00AD44DA" w:rsidRPr="0042696B" w:rsidRDefault="006B65E5" w:rsidP="00DE314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C41E5B">
              <w:rPr>
                <w:rFonts w:ascii="Arial" w:hAnsi="Arial" w:cs="Arial"/>
                <w:bCs/>
                <w:sz w:val="22"/>
                <w:szCs w:val="22"/>
              </w:rPr>
              <w:t>Director de Movilidad de la Secretaría de Seguridad Vecinal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067F">
              <w:rPr>
                <w:rFonts w:ascii="Arial" w:hAnsi="Arial" w:cs="Arial"/>
                <w:bCs/>
                <w:sz w:val="22"/>
                <w:szCs w:val="22"/>
              </w:rPr>
              <w:t>del Municipio de Oaxaca de Juárez</w:t>
            </w:r>
          </w:p>
        </w:tc>
        <w:tc>
          <w:tcPr>
            <w:tcW w:w="3805" w:type="dxa"/>
          </w:tcPr>
          <w:p w14:paraId="557ADAED" w14:textId="77777777" w:rsidR="00AD44DA" w:rsidRPr="005F0962" w:rsidRDefault="00AD44DA" w:rsidP="006E117D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</w:p>
        </w:tc>
      </w:tr>
    </w:tbl>
    <w:p w14:paraId="7413EB39" w14:textId="77777777" w:rsidR="00A52DF4" w:rsidRPr="008345E4" w:rsidRDefault="00A52DF4" w:rsidP="00A52DF4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POR LOS LICITANTES</w:t>
      </w:r>
      <w:r w:rsidRPr="008345E4">
        <w:rPr>
          <w:rFonts w:ascii="Arial" w:hAnsi="Arial" w:cs="Arial"/>
          <w:b/>
          <w:lang w:val="es-MX"/>
        </w:rPr>
        <w:t>.</w:t>
      </w:r>
    </w:p>
    <w:tbl>
      <w:tblPr>
        <w:tblStyle w:val="Tablaconcuadrcula"/>
        <w:tblW w:w="9379" w:type="dxa"/>
        <w:tblLook w:val="04A0" w:firstRow="1" w:lastRow="0" w:firstColumn="1" w:lastColumn="0" w:noHBand="0" w:noVBand="1"/>
      </w:tblPr>
      <w:tblGrid>
        <w:gridCol w:w="5769"/>
        <w:gridCol w:w="3610"/>
      </w:tblGrid>
      <w:tr w:rsidR="00A52DF4" w:rsidRPr="008345E4" w14:paraId="74098960" w14:textId="77777777" w:rsidTr="00E26307">
        <w:trPr>
          <w:trHeight w:val="416"/>
        </w:trPr>
        <w:tc>
          <w:tcPr>
            <w:tcW w:w="5769" w:type="dxa"/>
            <w:shd w:val="clear" w:color="auto" w:fill="auto"/>
            <w:vAlign w:val="center"/>
          </w:tcPr>
          <w:p w14:paraId="3B33EF9B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NOMBRE, EMPRESA Y CARGO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527BD790" w14:textId="77777777" w:rsidR="00A52DF4" w:rsidRPr="006B65E5" w:rsidRDefault="00A52DF4" w:rsidP="00932E86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6B65E5">
              <w:rPr>
                <w:rFonts w:ascii="Arial" w:hAnsi="Arial" w:cs="Arial"/>
                <w:b/>
                <w:bCs/>
                <w:lang w:val="es-MX"/>
              </w:rPr>
              <w:t>FIRMA</w:t>
            </w:r>
          </w:p>
        </w:tc>
      </w:tr>
      <w:tr w:rsidR="00A52DF4" w:rsidRPr="008345E4" w14:paraId="14D4E88A" w14:textId="77777777" w:rsidTr="006B65E5">
        <w:trPr>
          <w:trHeight w:val="1279"/>
        </w:trPr>
        <w:tc>
          <w:tcPr>
            <w:tcW w:w="5769" w:type="dxa"/>
            <w:vAlign w:val="center"/>
          </w:tcPr>
          <w:p w14:paraId="2CE80E74" w14:textId="717D9777" w:rsidR="00A52DF4" w:rsidRDefault="00A52DF4" w:rsidP="00932E86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74B1E">
              <w:rPr>
                <w:rFonts w:ascii="Arial" w:hAnsi="Arial" w:cs="Arial"/>
                <w:bCs/>
                <w:sz w:val="22"/>
                <w:szCs w:val="22"/>
                <w:lang w:val="es-MX"/>
              </w:rPr>
              <w:t>C.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</w:t>
            </w:r>
            <w:r w:rsidR="006B65E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Andrés Ángel Luna Mendoza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5D7F453E" w14:textId="1ECEAB66" w:rsidR="00A52DF4" w:rsidRPr="00574B1E" w:rsidRDefault="00A52DF4" w:rsidP="00932E86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E</w:t>
            </w:r>
            <w:r w:rsidRPr="00CA7596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n representación de la empresa 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MAQUINARIA Y MATERIALES PARA CONSTRUCCIÓN TECH</w:t>
            </w:r>
            <w:r w:rsidRPr="00CA759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S.A. DE C.V.</w:t>
            </w:r>
          </w:p>
        </w:tc>
        <w:tc>
          <w:tcPr>
            <w:tcW w:w="3610" w:type="dxa"/>
            <w:vAlign w:val="center"/>
          </w:tcPr>
          <w:p w14:paraId="769031D6" w14:textId="77777777" w:rsidR="00A52DF4" w:rsidRPr="00033D84" w:rsidRDefault="00A52DF4" w:rsidP="00932E8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52DF4" w:rsidRPr="008345E4" w14:paraId="22C9AFB4" w14:textId="77777777" w:rsidTr="006B65E5">
        <w:trPr>
          <w:trHeight w:val="1255"/>
        </w:trPr>
        <w:tc>
          <w:tcPr>
            <w:tcW w:w="5769" w:type="dxa"/>
            <w:vAlign w:val="center"/>
          </w:tcPr>
          <w:p w14:paraId="46E9AB1B" w14:textId="2DA45E57" w:rsidR="00A52DF4" w:rsidRDefault="00A52DF4" w:rsidP="00932E86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574B1E">
              <w:rPr>
                <w:rFonts w:ascii="Arial" w:hAnsi="Arial" w:cs="Arial"/>
                <w:bCs/>
                <w:sz w:val="22"/>
                <w:szCs w:val="22"/>
                <w:lang w:val="es-MX"/>
              </w:rPr>
              <w:t>C.</w:t>
            </w:r>
            <w:r w:rsidRPr="00CA7596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="006B65E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Heraclito</w:t>
            </w:r>
            <w:proofErr w:type="spellEnd"/>
            <w:r w:rsidR="006B65E5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 García Sánchez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.</w:t>
            </w:r>
          </w:p>
          <w:p w14:paraId="0D5614C3" w14:textId="66CA4261" w:rsidR="00A52DF4" w:rsidRPr="00574B1E" w:rsidRDefault="00A52DF4" w:rsidP="00932E86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>E</w:t>
            </w:r>
            <w:r w:rsidRPr="00CA7596"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  <w:t xml:space="preserve">n representación de la empresa 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MATERIALES PARA CONSTRUCCIÓN PAVIMEX</w:t>
            </w:r>
            <w:r w:rsidRPr="00CA7596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S.A. DE C.V.</w:t>
            </w:r>
          </w:p>
        </w:tc>
        <w:tc>
          <w:tcPr>
            <w:tcW w:w="3610" w:type="dxa"/>
            <w:vAlign w:val="center"/>
          </w:tcPr>
          <w:p w14:paraId="3A672A2C" w14:textId="77777777" w:rsidR="00A52DF4" w:rsidRPr="00033D84" w:rsidRDefault="00A52DF4" w:rsidP="00932E86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C1F854C" w14:textId="4049A78D" w:rsidR="004832AE" w:rsidRPr="00A52DF4" w:rsidRDefault="004832AE" w:rsidP="006E117D">
      <w:pPr>
        <w:pStyle w:val="Textonotapie"/>
        <w:jc w:val="both"/>
        <w:rPr>
          <w:rFonts w:ascii="Arial" w:eastAsia="Arial Unicode MS" w:hAnsi="Arial" w:cs="Arial"/>
          <w:sz w:val="16"/>
          <w:szCs w:val="16"/>
          <w:lang w:val="es-ES"/>
        </w:rPr>
      </w:pPr>
    </w:p>
    <w:p w14:paraId="257637EB" w14:textId="18E252A8" w:rsidR="00AD44DA" w:rsidRPr="006B65E5" w:rsidRDefault="00AD44DA" w:rsidP="006E117D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6B65E5">
        <w:rPr>
          <w:rFonts w:ascii="Arial" w:eastAsia="Arial Unicode MS" w:hAnsi="Arial" w:cs="Arial"/>
          <w:sz w:val="14"/>
          <w:szCs w:val="14"/>
        </w:rPr>
        <w:t xml:space="preserve">LA PRESENTE HOJA DE FIRMAS CORRESPONDE AL ACTA DE JUNTA DE ACLARACIONES DE LA LICITACIÓN PÚBLICA ESTATAL </w:t>
      </w:r>
      <w:r w:rsidR="009C1852" w:rsidRPr="006B65E5">
        <w:rPr>
          <w:rFonts w:ascii="Arial" w:hAnsi="Arial" w:cs="Arial"/>
          <w:sz w:val="14"/>
          <w:szCs w:val="14"/>
        </w:rPr>
        <w:t>PRESENCIAL NÚMERO LPE/MOJ/SAYF/OM/DRMYSG/INSUMOSSEÑALAMIENTO/20/2025, RELATIVA A LA ADQUISICIÓN DE INSUMOS PARA SEÑALAMIENTO HORIZONTAL Y SEÑALAMIENTO VERTICAL ESPECÍFICAMENTE: 58 TAMBOS DE 200 LTS DE PINTURA DE TRÁFICO DE DIFERENTES COLORES, 240 BULTOS DE 25 KG DE MICROESFERA DE VIDRIO TIPO I Y 400 PIEZAS DE SEÑALAMIENTO VERTICAL DE 61 X 61 CMS; PARA DESARROLLAR LOS TRABAJOS DE SEÑALIZACIÓN VIAL EN LA CABECERA MUNICIPAL Y DIVERSAS AGENCIAS DEL MUNICIPIO DE OAXACA DE JUÁREZ, OAXACA</w:t>
      </w:r>
      <w:r w:rsidRPr="006B65E5">
        <w:rPr>
          <w:rFonts w:ascii="Arial" w:eastAsia="Arial Unicode MS" w:hAnsi="Arial" w:cs="Arial"/>
          <w:sz w:val="14"/>
          <w:szCs w:val="14"/>
        </w:rPr>
        <w:t>. -------------</w:t>
      </w:r>
      <w:r w:rsidR="006C5365" w:rsidRPr="006B65E5">
        <w:rPr>
          <w:rFonts w:ascii="Arial" w:eastAsia="Arial Unicode MS" w:hAnsi="Arial" w:cs="Arial"/>
          <w:sz w:val="14"/>
          <w:szCs w:val="14"/>
        </w:rPr>
        <w:t>-----------------------</w:t>
      </w:r>
      <w:r w:rsidR="009C1852" w:rsidRPr="006B65E5">
        <w:rPr>
          <w:rFonts w:ascii="Arial" w:eastAsia="Arial Unicode MS" w:hAnsi="Arial" w:cs="Arial"/>
          <w:sz w:val="14"/>
          <w:szCs w:val="14"/>
        </w:rPr>
        <w:t>-------------------------------------------------------------------------------------------------</w:t>
      </w:r>
    </w:p>
    <w:sectPr w:rsidR="00AD44DA" w:rsidRPr="006B65E5" w:rsidSect="00AD44DA">
      <w:headerReference w:type="default" r:id="rId12"/>
      <w:footerReference w:type="default" r:id="rId13"/>
      <w:type w:val="continuous"/>
      <w:pgSz w:w="12240" w:h="15840"/>
      <w:pgMar w:top="1702" w:right="1467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F429" w14:textId="77777777" w:rsidR="008025D0" w:rsidRDefault="008025D0" w:rsidP="00301E57">
      <w:r>
        <w:separator/>
      </w:r>
    </w:p>
  </w:endnote>
  <w:endnote w:type="continuationSeparator" w:id="0">
    <w:p w14:paraId="20673FDD" w14:textId="77777777" w:rsidR="008025D0" w:rsidRDefault="008025D0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896541"/>
      <w:docPartObj>
        <w:docPartGallery w:val="Page Numbers (Bottom of Page)"/>
        <w:docPartUnique/>
      </w:docPartObj>
    </w:sdtPr>
    <w:sdtEndPr/>
    <w:sdtContent>
      <w:p w14:paraId="3009F28C" w14:textId="177CE08F" w:rsidR="00563350" w:rsidRDefault="005633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75EA4" w14:textId="77777777" w:rsidR="001915BC" w:rsidRDefault="00191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05E7" w14:textId="77777777" w:rsidR="008025D0" w:rsidRDefault="008025D0" w:rsidP="00301E57">
      <w:r>
        <w:separator/>
      </w:r>
    </w:p>
  </w:footnote>
  <w:footnote w:type="continuationSeparator" w:id="0">
    <w:p w14:paraId="1F8C2401" w14:textId="77777777" w:rsidR="008025D0" w:rsidRDefault="008025D0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1111" w14:textId="77777777" w:rsidR="001915BC" w:rsidRDefault="00C427A8">
    <w:pPr>
      <w:pStyle w:val="Encabezado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7E4D5B" wp14:editId="656A426C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7814945" cy="9977438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3" t="2313" r="4276" b="2594"/>
                  <a:stretch/>
                </pic:blipFill>
                <pic:spPr bwMode="auto">
                  <a:xfrm>
                    <a:off x="0" y="0"/>
                    <a:ext cx="7814945" cy="9977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C9258" w14:textId="77777777" w:rsidR="001915BC" w:rsidRDefault="001915BC">
    <w:pPr>
      <w:pStyle w:val="Encabezado"/>
      <w:rPr>
        <w:noProof/>
      </w:rPr>
    </w:pPr>
  </w:p>
  <w:p w14:paraId="4DD6F34A" w14:textId="77777777" w:rsidR="001915BC" w:rsidRDefault="001915BC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534BF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9469D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FB51B8"/>
    <w:multiLevelType w:val="hybridMultilevel"/>
    <w:tmpl w:val="6E5AE342"/>
    <w:lvl w:ilvl="0" w:tplc="080A0013">
      <w:start w:val="1"/>
      <w:numFmt w:val="upperRoman"/>
      <w:lvlText w:val="%1."/>
      <w:lvlJc w:val="righ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1">
    <w:nsid w:val="1CFB0A73"/>
    <w:multiLevelType w:val="multilevel"/>
    <w:tmpl w:val="10D62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2E605C7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754A8A"/>
    <w:multiLevelType w:val="hybridMultilevel"/>
    <w:tmpl w:val="887691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9CB"/>
    <w:multiLevelType w:val="hybridMultilevel"/>
    <w:tmpl w:val="11BCB1D6"/>
    <w:lvl w:ilvl="0" w:tplc="080A0011">
      <w:start w:val="1"/>
      <w:numFmt w:val="decimal"/>
      <w:lvlText w:val="%1)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7F1C26"/>
    <w:multiLevelType w:val="hybridMultilevel"/>
    <w:tmpl w:val="2C74D1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A11DF0"/>
    <w:multiLevelType w:val="hybridMultilevel"/>
    <w:tmpl w:val="5DA04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21E5687"/>
    <w:multiLevelType w:val="hybridMultilevel"/>
    <w:tmpl w:val="409E598E"/>
    <w:lvl w:ilvl="0" w:tplc="064284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4277B8C"/>
    <w:multiLevelType w:val="hybridMultilevel"/>
    <w:tmpl w:val="C916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CB664C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1E40ECF"/>
    <w:multiLevelType w:val="hybridMultilevel"/>
    <w:tmpl w:val="76B6C0F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55917F2"/>
    <w:multiLevelType w:val="hybridMultilevel"/>
    <w:tmpl w:val="6EA07E9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9DB1594"/>
    <w:multiLevelType w:val="hybridMultilevel"/>
    <w:tmpl w:val="89224DDC"/>
    <w:lvl w:ilvl="0" w:tplc="6E6A6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DD772D4"/>
    <w:multiLevelType w:val="hybridMultilevel"/>
    <w:tmpl w:val="20E2E300"/>
    <w:lvl w:ilvl="0" w:tplc="8564C3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54A3CE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90132B0"/>
    <w:multiLevelType w:val="hybridMultilevel"/>
    <w:tmpl w:val="97844C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C17115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CE917ED"/>
    <w:multiLevelType w:val="hybridMultilevel"/>
    <w:tmpl w:val="C576C7A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1E97891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3FD7718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CB623AD"/>
    <w:multiLevelType w:val="hybridMultilevel"/>
    <w:tmpl w:val="DFCAF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4"/>
  </w:num>
  <w:num w:numId="6">
    <w:abstractNumId w:val="11"/>
  </w:num>
  <w:num w:numId="7">
    <w:abstractNumId w:val="16"/>
  </w:num>
  <w:num w:numId="8">
    <w:abstractNumId w:val="2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5"/>
  </w:num>
  <w:num w:numId="20">
    <w:abstractNumId w:val="8"/>
  </w:num>
  <w:num w:numId="21">
    <w:abstractNumId w:val="3"/>
  </w:num>
  <w:num w:numId="22">
    <w:abstractNumId w:val="1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57"/>
    <w:rsid w:val="00000A24"/>
    <w:rsid w:val="0000311A"/>
    <w:rsid w:val="0000473E"/>
    <w:rsid w:val="00005EF7"/>
    <w:rsid w:val="00015F8A"/>
    <w:rsid w:val="00017A0E"/>
    <w:rsid w:val="00022B96"/>
    <w:rsid w:val="000240CA"/>
    <w:rsid w:val="00025B35"/>
    <w:rsid w:val="00031807"/>
    <w:rsid w:val="00033D84"/>
    <w:rsid w:val="000410F8"/>
    <w:rsid w:val="00047A79"/>
    <w:rsid w:val="00053F15"/>
    <w:rsid w:val="00056535"/>
    <w:rsid w:val="00056935"/>
    <w:rsid w:val="000619A1"/>
    <w:rsid w:val="00067F89"/>
    <w:rsid w:val="0007461E"/>
    <w:rsid w:val="00075EDD"/>
    <w:rsid w:val="00077ED9"/>
    <w:rsid w:val="000812DD"/>
    <w:rsid w:val="00082DFF"/>
    <w:rsid w:val="00083667"/>
    <w:rsid w:val="00084FA8"/>
    <w:rsid w:val="00085AA1"/>
    <w:rsid w:val="00090860"/>
    <w:rsid w:val="000912E9"/>
    <w:rsid w:val="00094AFB"/>
    <w:rsid w:val="00097DCC"/>
    <w:rsid w:val="000A2047"/>
    <w:rsid w:val="000A50DE"/>
    <w:rsid w:val="000A67B7"/>
    <w:rsid w:val="000B011E"/>
    <w:rsid w:val="000B0D1E"/>
    <w:rsid w:val="000B1904"/>
    <w:rsid w:val="000B2ABE"/>
    <w:rsid w:val="000B5DC7"/>
    <w:rsid w:val="000B6C4A"/>
    <w:rsid w:val="000C408B"/>
    <w:rsid w:val="000C5584"/>
    <w:rsid w:val="000C5966"/>
    <w:rsid w:val="000D0CF9"/>
    <w:rsid w:val="000D1644"/>
    <w:rsid w:val="000D1C16"/>
    <w:rsid w:val="000D2302"/>
    <w:rsid w:val="000E31CC"/>
    <w:rsid w:val="000E6E81"/>
    <w:rsid w:val="000F1FF0"/>
    <w:rsid w:val="000F6FA7"/>
    <w:rsid w:val="00102978"/>
    <w:rsid w:val="00102CEB"/>
    <w:rsid w:val="00105ECC"/>
    <w:rsid w:val="001134F9"/>
    <w:rsid w:val="001209C5"/>
    <w:rsid w:val="001241DE"/>
    <w:rsid w:val="0012664C"/>
    <w:rsid w:val="00126AA9"/>
    <w:rsid w:val="00127D33"/>
    <w:rsid w:val="001312B0"/>
    <w:rsid w:val="00133DDD"/>
    <w:rsid w:val="001352AE"/>
    <w:rsid w:val="0013661C"/>
    <w:rsid w:val="00141966"/>
    <w:rsid w:val="00145CD0"/>
    <w:rsid w:val="001466C7"/>
    <w:rsid w:val="00153A8B"/>
    <w:rsid w:val="00162751"/>
    <w:rsid w:val="0016686A"/>
    <w:rsid w:val="00171F7B"/>
    <w:rsid w:val="001775FC"/>
    <w:rsid w:val="00185E2A"/>
    <w:rsid w:val="001915BC"/>
    <w:rsid w:val="00193143"/>
    <w:rsid w:val="00195606"/>
    <w:rsid w:val="001B0089"/>
    <w:rsid w:val="001B0267"/>
    <w:rsid w:val="001B1825"/>
    <w:rsid w:val="001B197A"/>
    <w:rsid w:val="001B1DD6"/>
    <w:rsid w:val="001B4950"/>
    <w:rsid w:val="001B4CB9"/>
    <w:rsid w:val="001B4EF4"/>
    <w:rsid w:val="001B639C"/>
    <w:rsid w:val="001C0FB4"/>
    <w:rsid w:val="001C59AD"/>
    <w:rsid w:val="001D2466"/>
    <w:rsid w:val="001D2C05"/>
    <w:rsid w:val="001D2D4F"/>
    <w:rsid w:val="001D7FFB"/>
    <w:rsid w:val="001E2906"/>
    <w:rsid w:val="001E6B76"/>
    <w:rsid w:val="001E6DD3"/>
    <w:rsid w:val="001F1161"/>
    <w:rsid w:val="001F60F8"/>
    <w:rsid w:val="001F7108"/>
    <w:rsid w:val="00212EA7"/>
    <w:rsid w:val="002150AD"/>
    <w:rsid w:val="00221A04"/>
    <w:rsid w:val="00223567"/>
    <w:rsid w:val="002261A5"/>
    <w:rsid w:val="00227CB4"/>
    <w:rsid w:val="00227EB5"/>
    <w:rsid w:val="00232293"/>
    <w:rsid w:val="002336CE"/>
    <w:rsid w:val="00233A0D"/>
    <w:rsid w:val="00235664"/>
    <w:rsid w:val="0024112D"/>
    <w:rsid w:val="0024400E"/>
    <w:rsid w:val="002442CB"/>
    <w:rsid w:val="00244ECC"/>
    <w:rsid w:val="00245C4D"/>
    <w:rsid w:val="0025000D"/>
    <w:rsid w:val="00255367"/>
    <w:rsid w:val="0025618B"/>
    <w:rsid w:val="00256CA3"/>
    <w:rsid w:val="00260C6D"/>
    <w:rsid w:val="00261DFC"/>
    <w:rsid w:val="00265705"/>
    <w:rsid w:val="00265A19"/>
    <w:rsid w:val="00266E43"/>
    <w:rsid w:val="002763E3"/>
    <w:rsid w:val="00281650"/>
    <w:rsid w:val="00283A7E"/>
    <w:rsid w:val="00287033"/>
    <w:rsid w:val="002908E0"/>
    <w:rsid w:val="002908F9"/>
    <w:rsid w:val="00295B85"/>
    <w:rsid w:val="002A0AA7"/>
    <w:rsid w:val="002A42AB"/>
    <w:rsid w:val="002A79E5"/>
    <w:rsid w:val="002C1754"/>
    <w:rsid w:val="002C3010"/>
    <w:rsid w:val="002C32BA"/>
    <w:rsid w:val="002D122A"/>
    <w:rsid w:val="002D2DD9"/>
    <w:rsid w:val="002D514F"/>
    <w:rsid w:val="002D5366"/>
    <w:rsid w:val="002E193C"/>
    <w:rsid w:val="002E2DBC"/>
    <w:rsid w:val="002E59DF"/>
    <w:rsid w:val="002E6408"/>
    <w:rsid w:val="002E716E"/>
    <w:rsid w:val="002F0DFE"/>
    <w:rsid w:val="002F16F1"/>
    <w:rsid w:val="00300939"/>
    <w:rsid w:val="00301E57"/>
    <w:rsid w:val="00306366"/>
    <w:rsid w:val="00313FF8"/>
    <w:rsid w:val="00315928"/>
    <w:rsid w:val="00321594"/>
    <w:rsid w:val="00321CDA"/>
    <w:rsid w:val="0032484D"/>
    <w:rsid w:val="00324A4B"/>
    <w:rsid w:val="003262B2"/>
    <w:rsid w:val="00326648"/>
    <w:rsid w:val="00330DB9"/>
    <w:rsid w:val="0033469E"/>
    <w:rsid w:val="00337A32"/>
    <w:rsid w:val="00340F43"/>
    <w:rsid w:val="0034348F"/>
    <w:rsid w:val="00347474"/>
    <w:rsid w:val="00351C77"/>
    <w:rsid w:val="00352638"/>
    <w:rsid w:val="00357945"/>
    <w:rsid w:val="00360C3D"/>
    <w:rsid w:val="00363572"/>
    <w:rsid w:val="00364070"/>
    <w:rsid w:val="003645D6"/>
    <w:rsid w:val="00365D7C"/>
    <w:rsid w:val="003832C0"/>
    <w:rsid w:val="00383417"/>
    <w:rsid w:val="00386099"/>
    <w:rsid w:val="00393144"/>
    <w:rsid w:val="003932AB"/>
    <w:rsid w:val="003A2534"/>
    <w:rsid w:val="003A3DB7"/>
    <w:rsid w:val="003A59AA"/>
    <w:rsid w:val="003A5C1E"/>
    <w:rsid w:val="003B2972"/>
    <w:rsid w:val="003B46CB"/>
    <w:rsid w:val="003B4CF4"/>
    <w:rsid w:val="003B6DD0"/>
    <w:rsid w:val="003B6FB2"/>
    <w:rsid w:val="003C50CC"/>
    <w:rsid w:val="003D2B28"/>
    <w:rsid w:val="003E05BF"/>
    <w:rsid w:val="003E067F"/>
    <w:rsid w:val="003E15EA"/>
    <w:rsid w:val="003E3E35"/>
    <w:rsid w:val="003E6370"/>
    <w:rsid w:val="003E7733"/>
    <w:rsid w:val="003F4F66"/>
    <w:rsid w:val="00400B1D"/>
    <w:rsid w:val="00401518"/>
    <w:rsid w:val="004101A8"/>
    <w:rsid w:val="004117B0"/>
    <w:rsid w:val="0041349B"/>
    <w:rsid w:val="00417A93"/>
    <w:rsid w:val="004236A9"/>
    <w:rsid w:val="00423FAF"/>
    <w:rsid w:val="00424E62"/>
    <w:rsid w:val="0042696B"/>
    <w:rsid w:val="0043116A"/>
    <w:rsid w:val="004424A6"/>
    <w:rsid w:val="00443009"/>
    <w:rsid w:val="00445845"/>
    <w:rsid w:val="004503F5"/>
    <w:rsid w:val="00452801"/>
    <w:rsid w:val="00452CBF"/>
    <w:rsid w:val="00457074"/>
    <w:rsid w:val="004605A1"/>
    <w:rsid w:val="004721E5"/>
    <w:rsid w:val="00472371"/>
    <w:rsid w:val="00473215"/>
    <w:rsid w:val="004750A4"/>
    <w:rsid w:val="004764E3"/>
    <w:rsid w:val="004822AB"/>
    <w:rsid w:val="004832AE"/>
    <w:rsid w:val="00484922"/>
    <w:rsid w:val="00486D24"/>
    <w:rsid w:val="004902EE"/>
    <w:rsid w:val="0049322A"/>
    <w:rsid w:val="00494B4D"/>
    <w:rsid w:val="00495FAC"/>
    <w:rsid w:val="004A1657"/>
    <w:rsid w:val="004A398F"/>
    <w:rsid w:val="004A478A"/>
    <w:rsid w:val="004B3934"/>
    <w:rsid w:val="004B65B6"/>
    <w:rsid w:val="004C1C73"/>
    <w:rsid w:val="004C1D5F"/>
    <w:rsid w:val="004C7880"/>
    <w:rsid w:val="004C7BCD"/>
    <w:rsid w:val="004D4DED"/>
    <w:rsid w:val="004E37B0"/>
    <w:rsid w:val="004E732A"/>
    <w:rsid w:val="004F69E1"/>
    <w:rsid w:val="0050036A"/>
    <w:rsid w:val="005065BB"/>
    <w:rsid w:val="00512203"/>
    <w:rsid w:val="00514942"/>
    <w:rsid w:val="0051544E"/>
    <w:rsid w:val="0051557B"/>
    <w:rsid w:val="00522BB3"/>
    <w:rsid w:val="00523835"/>
    <w:rsid w:val="00523B85"/>
    <w:rsid w:val="0052459C"/>
    <w:rsid w:val="00525C4C"/>
    <w:rsid w:val="0053134C"/>
    <w:rsid w:val="00536B64"/>
    <w:rsid w:val="0054096F"/>
    <w:rsid w:val="00542C5F"/>
    <w:rsid w:val="005435E6"/>
    <w:rsid w:val="00544358"/>
    <w:rsid w:val="0055126D"/>
    <w:rsid w:val="005549F5"/>
    <w:rsid w:val="0056075E"/>
    <w:rsid w:val="00561252"/>
    <w:rsid w:val="00561386"/>
    <w:rsid w:val="005614FD"/>
    <w:rsid w:val="00563350"/>
    <w:rsid w:val="005743FD"/>
    <w:rsid w:val="0058431C"/>
    <w:rsid w:val="0058431E"/>
    <w:rsid w:val="005878BC"/>
    <w:rsid w:val="005A2A2F"/>
    <w:rsid w:val="005A2BFA"/>
    <w:rsid w:val="005A38E8"/>
    <w:rsid w:val="005A3A62"/>
    <w:rsid w:val="005A49C9"/>
    <w:rsid w:val="005A6D56"/>
    <w:rsid w:val="005C120F"/>
    <w:rsid w:val="005C26FF"/>
    <w:rsid w:val="005C60A1"/>
    <w:rsid w:val="005D1300"/>
    <w:rsid w:val="005D3707"/>
    <w:rsid w:val="005D6454"/>
    <w:rsid w:val="005E182D"/>
    <w:rsid w:val="005E1FB4"/>
    <w:rsid w:val="005E48F9"/>
    <w:rsid w:val="005F0962"/>
    <w:rsid w:val="005F19E7"/>
    <w:rsid w:val="005F1F2D"/>
    <w:rsid w:val="005F6D34"/>
    <w:rsid w:val="00611EB4"/>
    <w:rsid w:val="00612FC6"/>
    <w:rsid w:val="00614736"/>
    <w:rsid w:val="0062759A"/>
    <w:rsid w:val="0063060D"/>
    <w:rsid w:val="0063079B"/>
    <w:rsid w:val="0064043A"/>
    <w:rsid w:val="0064174E"/>
    <w:rsid w:val="00642C9B"/>
    <w:rsid w:val="00653C2C"/>
    <w:rsid w:val="0065719C"/>
    <w:rsid w:val="0066020A"/>
    <w:rsid w:val="00661275"/>
    <w:rsid w:val="006629F8"/>
    <w:rsid w:val="00663171"/>
    <w:rsid w:val="006678F6"/>
    <w:rsid w:val="00671B03"/>
    <w:rsid w:val="0067268F"/>
    <w:rsid w:val="00676BCF"/>
    <w:rsid w:val="00680616"/>
    <w:rsid w:val="00681212"/>
    <w:rsid w:val="006854A3"/>
    <w:rsid w:val="006921CA"/>
    <w:rsid w:val="00695B33"/>
    <w:rsid w:val="006A1E0C"/>
    <w:rsid w:val="006A42C1"/>
    <w:rsid w:val="006A6B0C"/>
    <w:rsid w:val="006B2732"/>
    <w:rsid w:val="006B2C11"/>
    <w:rsid w:val="006B5140"/>
    <w:rsid w:val="006B5428"/>
    <w:rsid w:val="006B54ED"/>
    <w:rsid w:val="006B65E5"/>
    <w:rsid w:val="006B69AF"/>
    <w:rsid w:val="006C5365"/>
    <w:rsid w:val="006C6546"/>
    <w:rsid w:val="006D5C2E"/>
    <w:rsid w:val="006D7CF7"/>
    <w:rsid w:val="006E117D"/>
    <w:rsid w:val="006E57D9"/>
    <w:rsid w:val="006E5C0A"/>
    <w:rsid w:val="006E6065"/>
    <w:rsid w:val="006E6756"/>
    <w:rsid w:val="006F0299"/>
    <w:rsid w:val="006F0A4A"/>
    <w:rsid w:val="006F20C0"/>
    <w:rsid w:val="006F3DE9"/>
    <w:rsid w:val="0070168F"/>
    <w:rsid w:val="00702495"/>
    <w:rsid w:val="00704C6F"/>
    <w:rsid w:val="007079FE"/>
    <w:rsid w:val="007132D1"/>
    <w:rsid w:val="00713D64"/>
    <w:rsid w:val="007157C6"/>
    <w:rsid w:val="00721C97"/>
    <w:rsid w:val="0072515B"/>
    <w:rsid w:val="00730440"/>
    <w:rsid w:val="00734854"/>
    <w:rsid w:val="00736F63"/>
    <w:rsid w:val="00737E4C"/>
    <w:rsid w:val="00743223"/>
    <w:rsid w:val="00750B9C"/>
    <w:rsid w:val="007515BA"/>
    <w:rsid w:val="007516CE"/>
    <w:rsid w:val="00751BD0"/>
    <w:rsid w:val="007526B2"/>
    <w:rsid w:val="00755BB0"/>
    <w:rsid w:val="007614B5"/>
    <w:rsid w:val="00762EDB"/>
    <w:rsid w:val="00772288"/>
    <w:rsid w:val="007727BC"/>
    <w:rsid w:val="00775BF9"/>
    <w:rsid w:val="00781633"/>
    <w:rsid w:val="00781F04"/>
    <w:rsid w:val="00790C73"/>
    <w:rsid w:val="00795753"/>
    <w:rsid w:val="007A6C6F"/>
    <w:rsid w:val="007B34A9"/>
    <w:rsid w:val="007B427A"/>
    <w:rsid w:val="007B7F32"/>
    <w:rsid w:val="007C1525"/>
    <w:rsid w:val="007C686A"/>
    <w:rsid w:val="007D1053"/>
    <w:rsid w:val="007D12F0"/>
    <w:rsid w:val="007D30A9"/>
    <w:rsid w:val="007D4656"/>
    <w:rsid w:val="007D4EF9"/>
    <w:rsid w:val="007D6D5C"/>
    <w:rsid w:val="007D75BE"/>
    <w:rsid w:val="007D782D"/>
    <w:rsid w:val="007E0B59"/>
    <w:rsid w:val="007E1B00"/>
    <w:rsid w:val="007E244E"/>
    <w:rsid w:val="007E576F"/>
    <w:rsid w:val="007F391C"/>
    <w:rsid w:val="007F4A23"/>
    <w:rsid w:val="007F6FA3"/>
    <w:rsid w:val="007F7EA7"/>
    <w:rsid w:val="00800254"/>
    <w:rsid w:val="008025D0"/>
    <w:rsid w:val="00803985"/>
    <w:rsid w:val="00803FD4"/>
    <w:rsid w:val="00804C9D"/>
    <w:rsid w:val="0080585B"/>
    <w:rsid w:val="00813B7F"/>
    <w:rsid w:val="0081526C"/>
    <w:rsid w:val="008174E5"/>
    <w:rsid w:val="0082115E"/>
    <w:rsid w:val="00821F51"/>
    <w:rsid w:val="008261D7"/>
    <w:rsid w:val="0083451B"/>
    <w:rsid w:val="00835170"/>
    <w:rsid w:val="00842911"/>
    <w:rsid w:val="008451B6"/>
    <w:rsid w:val="00847C21"/>
    <w:rsid w:val="0085077A"/>
    <w:rsid w:val="00853A7D"/>
    <w:rsid w:val="0085420C"/>
    <w:rsid w:val="00855737"/>
    <w:rsid w:val="0085573F"/>
    <w:rsid w:val="00856ECA"/>
    <w:rsid w:val="00863CA9"/>
    <w:rsid w:val="00865D8E"/>
    <w:rsid w:val="00872D2E"/>
    <w:rsid w:val="00875BF4"/>
    <w:rsid w:val="008822DB"/>
    <w:rsid w:val="00883C3E"/>
    <w:rsid w:val="008849F5"/>
    <w:rsid w:val="00891834"/>
    <w:rsid w:val="008927A5"/>
    <w:rsid w:val="00897293"/>
    <w:rsid w:val="008A4E1A"/>
    <w:rsid w:val="008B066A"/>
    <w:rsid w:val="008B1109"/>
    <w:rsid w:val="008B24A6"/>
    <w:rsid w:val="008B2929"/>
    <w:rsid w:val="008C1835"/>
    <w:rsid w:val="008C2487"/>
    <w:rsid w:val="008C369E"/>
    <w:rsid w:val="008C405C"/>
    <w:rsid w:val="008C4E1A"/>
    <w:rsid w:val="008C563B"/>
    <w:rsid w:val="008C6614"/>
    <w:rsid w:val="008C70AC"/>
    <w:rsid w:val="008D256F"/>
    <w:rsid w:val="008D5416"/>
    <w:rsid w:val="008E4187"/>
    <w:rsid w:val="008F2460"/>
    <w:rsid w:val="00902019"/>
    <w:rsid w:val="00902C93"/>
    <w:rsid w:val="0090646E"/>
    <w:rsid w:val="00906565"/>
    <w:rsid w:val="00910E69"/>
    <w:rsid w:val="00912445"/>
    <w:rsid w:val="0091577C"/>
    <w:rsid w:val="00920DC6"/>
    <w:rsid w:val="009211E5"/>
    <w:rsid w:val="00926307"/>
    <w:rsid w:val="00930D6B"/>
    <w:rsid w:val="00932DF9"/>
    <w:rsid w:val="009350CC"/>
    <w:rsid w:val="0093704F"/>
    <w:rsid w:val="00941BA1"/>
    <w:rsid w:val="00941CD8"/>
    <w:rsid w:val="009430EF"/>
    <w:rsid w:val="00943E79"/>
    <w:rsid w:val="00961217"/>
    <w:rsid w:val="0096364E"/>
    <w:rsid w:val="00965B9E"/>
    <w:rsid w:val="0096649B"/>
    <w:rsid w:val="00966B6D"/>
    <w:rsid w:val="00972882"/>
    <w:rsid w:val="00973A70"/>
    <w:rsid w:val="009751AB"/>
    <w:rsid w:val="009809A0"/>
    <w:rsid w:val="009817B5"/>
    <w:rsid w:val="00983E1B"/>
    <w:rsid w:val="00986E0D"/>
    <w:rsid w:val="0099448C"/>
    <w:rsid w:val="009A074D"/>
    <w:rsid w:val="009A0A94"/>
    <w:rsid w:val="009A240D"/>
    <w:rsid w:val="009A45F4"/>
    <w:rsid w:val="009A5DCE"/>
    <w:rsid w:val="009B1589"/>
    <w:rsid w:val="009B2C59"/>
    <w:rsid w:val="009C1852"/>
    <w:rsid w:val="009C37FF"/>
    <w:rsid w:val="009D0B4C"/>
    <w:rsid w:val="009D1C95"/>
    <w:rsid w:val="009D45B7"/>
    <w:rsid w:val="009E1086"/>
    <w:rsid w:val="009E203A"/>
    <w:rsid w:val="009E2E51"/>
    <w:rsid w:val="009F2B36"/>
    <w:rsid w:val="009F3839"/>
    <w:rsid w:val="00A06BD5"/>
    <w:rsid w:val="00A06FE7"/>
    <w:rsid w:val="00A17A4D"/>
    <w:rsid w:val="00A21B10"/>
    <w:rsid w:val="00A247F6"/>
    <w:rsid w:val="00A24D26"/>
    <w:rsid w:val="00A26CEB"/>
    <w:rsid w:val="00A32A06"/>
    <w:rsid w:val="00A32DFB"/>
    <w:rsid w:val="00A34172"/>
    <w:rsid w:val="00A35105"/>
    <w:rsid w:val="00A351F0"/>
    <w:rsid w:val="00A411C1"/>
    <w:rsid w:val="00A41EA6"/>
    <w:rsid w:val="00A4250A"/>
    <w:rsid w:val="00A5116A"/>
    <w:rsid w:val="00A52DF4"/>
    <w:rsid w:val="00A5419D"/>
    <w:rsid w:val="00A54F05"/>
    <w:rsid w:val="00A62A6E"/>
    <w:rsid w:val="00A64997"/>
    <w:rsid w:val="00A653E4"/>
    <w:rsid w:val="00A67D2B"/>
    <w:rsid w:val="00A70616"/>
    <w:rsid w:val="00A7607B"/>
    <w:rsid w:val="00A8572E"/>
    <w:rsid w:val="00A8575D"/>
    <w:rsid w:val="00AA360B"/>
    <w:rsid w:val="00AA442C"/>
    <w:rsid w:val="00AA4ED9"/>
    <w:rsid w:val="00AB1C25"/>
    <w:rsid w:val="00AB582E"/>
    <w:rsid w:val="00AC5784"/>
    <w:rsid w:val="00AC6614"/>
    <w:rsid w:val="00AD367C"/>
    <w:rsid w:val="00AD43D6"/>
    <w:rsid w:val="00AD44DA"/>
    <w:rsid w:val="00AD5F2C"/>
    <w:rsid w:val="00AD6001"/>
    <w:rsid w:val="00AE01AC"/>
    <w:rsid w:val="00AE1825"/>
    <w:rsid w:val="00AE4D5F"/>
    <w:rsid w:val="00AE4F25"/>
    <w:rsid w:val="00AE6CAC"/>
    <w:rsid w:val="00AF0271"/>
    <w:rsid w:val="00AF2B6C"/>
    <w:rsid w:val="00AF47DD"/>
    <w:rsid w:val="00AF725D"/>
    <w:rsid w:val="00AF756B"/>
    <w:rsid w:val="00B054EB"/>
    <w:rsid w:val="00B10FEF"/>
    <w:rsid w:val="00B14DDE"/>
    <w:rsid w:val="00B169DE"/>
    <w:rsid w:val="00B25D46"/>
    <w:rsid w:val="00B264E7"/>
    <w:rsid w:val="00B2774B"/>
    <w:rsid w:val="00B30C14"/>
    <w:rsid w:val="00B30FC7"/>
    <w:rsid w:val="00B356E1"/>
    <w:rsid w:val="00B35EBD"/>
    <w:rsid w:val="00B43AB1"/>
    <w:rsid w:val="00B532DB"/>
    <w:rsid w:val="00B53FB9"/>
    <w:rsid w:val="00B54299"/>
    <w:rsid w:val="00B5651A"/>
    <w:rsid w:val="00B57DEE"/>
    <w:rsid w:val="00B61CA0"/>
    <w:rsid w:val="00B64D87"/>
    <w:rsid w:val="00B6528C"/>
    <w:rsid w:val="00B71CDD"/>
    <w:rsid w:val="00B814D9"/>
    <w:rsid w:val="00B82260"/>
    <w:rsid w:val="00B86C58"/>
    <w:rsid w:val="00B9027A"/>
    <w:rsid w:val="00B92368"/>
    <w:rsid w:val="00B97657"/>
    <w:rsid w:val="00BA15F0"/>
    <w:rsid w:val="00BA6C52"/>
    <w:rsid w:val="00BA7267"/>
    <w:rsid w:val="00BB011A"/>
    <w:rsid w:val="00BB3F72"/>
    <w:rsid w:val="00BB7CF2"/>
    <w:rsid w:val="00BC0565"/>
    <w:rsid w:val="00BC19AA"/>
    <w:rsid w:val="00BC2843"/>
    <w:rsid w:val="00BC689E"/>
    <w:rsid w:val="00BC7186"/>
    <w:rsid w:val="00BC7393"/>
    <w:rsid w:val="00BD28DD"/>
    <w:rsid w:val="00BD4F98"/>
    <w:rsid w:val="00BD5A87"/>
    <w:rsid w:val="00BD5FCA"/>
    <w:rsid w:val="00BF7A60"/>
    <w:rsid w:val="00C14CD3"/>
    <w:rsid w:val="00C168F9"/>
    <w:rsid w:val="00C20AB7"/>
    <w:rsid w:val="00C21BA1"/>
    <w:rsid w:val="00C21BF5"/>
    <w:rsid w:val="00C227FF"/>
    <w:rsid w:val="00C259F5"/>
    <w:rsid w:val="00C273BB"/>
    <w:rsid w:val="00C31511"/>
    <w:rsid w:val="00C338E8"/>
    <w:rsid w:val="00C37D18"/>
    <w:rsid w:val="00C41E5B"/>
    <w:rsid w:val="00C427A8"/>
    <w:rsid w:val="00C61F8F"/>
    <w:rsid w:val="00C63420"/>
    <w:rsid w:val="00C70493"/>
    <w:rsid w:val="00C73A40"/>
    <w:rsid w:val="00C80502"/>
    <w:rsid w:val="00C82182"/>
    <w:rsid w:val="00C87C98"/>
    <w:rsid w:val="00C909E7"/>
    <w:rsid w:val="00C9119F"/>
    <w:rsid w:val="00C92D96"/>
    <w:rsid w:val="00C950BF"/>
    <w:rsid w:val="00CA098E"/>
    <w:rsid w:val="00CA1CE8"/>
    <w:rsid w:val="00CA6AB2"/>
    <w:rsid w:val="00CA7596"/>
    <w:rsid w:val="00CA7747"/>
    <w:rsid w:val="00CB0869"/>
    <w:rsid w:val="00CB2385"/>
    <w:rsid w:val="00CB6295"/>
    <w:rsid w:val="00CB7696"/>
    <w:rsid w:val="00CD01F0"/>
    <w:rsid w:val="00CD6390"/>
    <w:rsid w:val="00CE3092"/>
    <w:rsid w:val="00CE7D09"/>
    <w:rsid w:val="00CF3313"/>
    <w:rsid w:val="00D11DFE"/>
    <w:rsid w:val="00D15BFC"/>
    <w:rsid w:val="00D16C8A"/>
    <w:rsid w:val="00D17494"/>
    <w:rsid w:val="00D22CDB"/>
    <w:rsid w:val="00D25074"/>
    <w:rsid w:val="00D25DB2"/>
    <w:rsid w:val="00D26DEC"/>
    <w:rsid w:val="00D26F19"/>
    <w:rsid w:val="00D27A95"/>
    <w:rsid w:val="00D30A6A"/>
    <w:rsid w:val="00D32266"/>
    <w:rsid w:val="00D36858"/>
    <w:rsid w:val="00D376E6"/>
    <w:rsid w:val="00D377C8"/>
    <w:rsid w:val="00D55090"/>
    <w:rsid w:val="00D57AC6"/>
    <w:rsid w:val="00D60266"/>
    <w:rsid w:val="00D66AD5"/>
    <w:rsid w:val="00D66C24"/>
    <w:rsid w:val="00D73D61"/>
    <w:rsid w:val="00D74957"/>
    <w:rsid w:val="00D82A86"/>
    <w:rsid w:val="00D929E4"/>
    <w:rsid w:val="00D953AF"/>
    <w:rsid w:val="00DB10A8"/>
    <w:rsid w:val="00DB2C74"/>
    <w:rsid w:val="00DC1024"/>
    <w:rsid w:val="00DC1FA5"/>
    <w:rsid w:val="00DC30BD"/>
    <w:rsid w:val="00DC6457"/>
    <w:rsid w:val="00DD3B58"/>
    <w:rsid w:val="00DE06E9"/>
    <w:rsid w:val="00DE1B8B"/>
    <w:rsid w:val="00DE314D"/>
    <w:rsid w:val="00DE59B8"/>
    <w:rsid w:val="00DE67DB"/>
    <w:rsid w:val="00DE7407"/>
    <w:rsid w:val="00DF06EE"/>
    <w:rsid w:val="00DF1026"/>
    <w:rsid w:val="00DF1235"/>
    <w:rsid w:val="00DF1BA5"/>
    <w:rsid w:val="00DF2C24"/>
    <w:rsid w:val="00DF4D23"/>
    <w:rsid w:val="00DF538C"/>
    <w:rsid w:val="00E0120A"/>
    <w:rsid w:val="00E03B74"/>
    <w:rsid w:val="00E05B3F"/>
    <w:rsid w:val="00E06637"/>
    <w:rsid w:val="00E12710"/>
    <w:rsid w:val="00E127B4"/>
    <w:rsid w:val="00E1526C"/>
    <w:rsid w:val="00E2033F"/>
    <w:rsid w:val="00E2613F"/>
    <w:rsid w:val="00E26307"/>
    <w:rsid w:val="00E31FD9"/>
    <w:rsid w:val="00E33BB6"/>
    <w:rsid w:val="00E430D2"/>
    <w:rsid w:val="00E4428A"/>
    <w:rsid w:val="00E467AF"/>
    <w:rsid w:val="00E46A46"/>
    <w:rsid w:val="00E47C06"/>
    <w:rsid w:val="00E50D0E"/>
    <w:rsid w:val="00E514D4"/>
    <w:rsid w:val="00E52236"/>
    <w:rsid w:val="00E77436"/>
    <w:rsid w:val="00E80F99"/>
    <w:rsid w:val="00E90DAA"/>
    <w:rsid w:val="00E9211F"/>
    <w:rsid w:val="00E92FFB"/>
    <w:rsid w:val="00E93443"/>
    <w:rsid w:val="00E94478"/>
    <w:rsid w:val="00EA7F45"/>
    <w:rsid w:val="00EC1AB8"/>
    <w:rsid w:val="00EC5AE0"/>
    <w:rsid w:val="00EC6E49"/>
    <w:rsid w:val="00ED0796"/>
    <w:rsid w:val="00ED2B5E"/>
    <w:rsid w:val="00ED3FF7"/>
    <w:rsid w:val="00EE16FE"/>
    <w:rsid w:val="00EE17C4"/>
    <w:rsid w:val="00EF00D2"/>
    <w:rsid w:val="00EF1BBA"/>
    <w:rsid w:val="00EF7B82"/>
    <w:rsid w:val="00F016F0"/>
    <w:rsid w:val="00F01D33"/>
    <w:rsid w:val="00F07F0B"/>
    <w:rsid w:val="00F10494"/>
    <w:rsid w:val="00F151AB"/>
    <w:rsid w:val="00F3472E"/>
    <w:rsid w:val="00F464FF"/>
    <w:rsid w:val="00F50A8A"/>
    <w:rsid w:val="00F51626"/>
    <w:rsid w:val="00F51700"/>
    <w:rsid w:val="00F536D5"/>
    <w:rsid w:val="00F60559"/>
    <w:rsid w:val="00F6260E"/>
    <w:rsid w:val="00F627D7"/>
    <w:rsid w:val="00F63046"/>
    <w:rsid w:val="00F63302"/>
    <w:rsid w:val="00F63869"/>
    <w:rsid w:val="00F639BA"/>
    <w:rsid w:val="00F744AB"/>
    <w:rsid w:val="00F75D0C"/>
    <w:rsid w:val="00F763A3"/>
    <w:rsid w:val="00F77232"/>
    <w:rsid w:val="00F962FC"/>
    <w:rsid w:val="00FA2910"/>
    <w:rsid w:val="00FA2B50"/>
    <w:rsid w:val="00FB1770"/>
    <w:rsid w:val="00FB4AA7"/>
    <w:rsid w:val="00FB6C8E"/>
    <w:rsid w:val="00FC1C2B"/>
    <w:rsid w:val="00FC275B"/>
    <w:rsid w:val="00FC2FE9"/>
    <w:rsid w:val="00FC3AA8"/>
    <w:rsid w:val="00FC3B38"/>
    <w:rsid w:val="00FC4D31"/>
    <w:rsid w:val="00FC6D4B"/>
    <w:rsid w:val="00FC6E5F"/>
    <w:rsid w:val="00FD02E7"/>
    <w:rsid w:val="00FD3245"/>
    <w:rsid w:val="00FD46E1"/>
    <w:rsid w:val="00FD6744"/>
    <w:rsid w:val="00FD7EBE"/>
    <w:rsid w:val="00FE2FBC"/>
    <w:rsid w:val="00FF08CC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9CD0B"/>
  <w15:chartTrackingRefBased/>
  <w15:docId w15:val="{EE06A8B9-A9AF-43D4-B278-4E92421D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33"/>
    <w:pPr>
      <w:spacing w:after="0" w:line="240" w:lineRule="auto"/>
    </w:pPr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5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39"/>
    <w:rsid w:val="001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Bulletr List Paragraph,列出段落,列出段落1,lp1,List Paragraph1,Lista vistosa - Énfasis 11,List Paragraph11,Colorful List - Accent 11,Footnote,titulo5,viñetas,TítuloB,Listas,Lista de nivel 1,lp11"/>
    <w:basedOn w:val="Normal"/>
    <w:link w:val="PrrafodelistaCar"/>
    <w:uiPriority w:val="34"/>
    <w:qFormat/>
    <w:rsid w:val="001915B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526B2"/>
    <w:rPr>
      <w:i/>
      <w:iCs/>
    </w:rPr>
  </w:style>
  <w:style w:type="paragraph" w:styleId="Textonotapie">
    <w:name w:val="footnote text"/>
    <w:basedOn w:val="Normal"/>
    <w:link w:val="TextonotapieCar"/>
    <w:semiHidden/>
    <w:rsid w:val="0067268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7268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67268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43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358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1 Car,Lista vistosa - Énfasis 11 Car,List Paragraph11 Car,Colorful List - Accent 11 Car,lp11 Car"/>
    <w:link w:val="Prrafodelista"/>
    <w:uiPriority w:val="34"/>
    <w:qFormat/>
    <w:locked/>
    <w:rsid w:val="00A67D2B"/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13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.municipiodeoaxaca.gob.mx/procesos-licitatorios/bienes-ser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E156-FF89-4B62-A8AC-BD9ED409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1885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dc:description/>
  <cp:lastModifiedBy>SOPORTE</cp:lastModifiedBy>
  <cp:revision>112</cp:revision>
  <cp:lastPrinted>2025-06-27T16:37:00Z</cp:lastPrinted>
  <dcterms:created xsi:type="dcterms:W3CDTF">2025-04-15T18:29:00Z</dcterms:created>
  <dcterms:modified xsi:type="dcterms:W3CDTF">2025-08-12T19:30:00Z</dcterms:modified>
</cp:coreProperties>
</file>